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mbeddings/oleObject1.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200"/>
      </w:pPr>
    </w:p>
    <w:p>
      <w:pPr>
        <w:spacing w:after="120"/>
        <w:jc w:val="center"/>
      </w:pPr>
      <w:r>
        <w:rPr>
          <w:rFonts w:ascii="Times New Roman" w:hAnsi="Times New Roman" w:cs="Times New Roman" w:eastAsia="黑体"/>
          <w:sz w:val="42"/>
        </w:rPr>
        <w:t>《基因检测与解读》</w:t>
      </w:r>
    </w:p>
    <w:p>
      <w:pPr>
        <w:spacing w:after="400"/>
        <w:jc w:val="center"/>
      </w:pPr>
      <w:r>
        <w:rPr>
          <w:rFonts w:ascii="Times New Roman" w:hAnsi="Times New Roman" w:cs="Times New Roman" w:eastAsia="黑体"/>
          <w:sz w:val="46"/>
        </w:rPr>
        <w:t>结课论文</w:t>
      </w:r>
    </w:p>
    <w:p>
      <w:pPr>
        <w:spacing w:before="160" w:after="120"/>
        <w:jc w:val="center"/>
      </w:pPr>
      <w:r>
        <w:rPr>
          <w:rFonts w:ascii="Times New Roman" w:hAnsi="Times New Roman" w:cs="Times New Roman" w:eastAsia="黑体"/>
          <w:sz w:val="28"/>
        </w:rPr>
        <w:t>论文题目</w:t>
      </w:r>
    </w:p>
    <w:p>
      <w:pPr>
        <w:spacing w:after="120"/>
        <w:jc w:val="center"/>
      </w:pPr>
      <w:r>
        <w:rPr>
          <w:rFonts w:ascii="Times New Roman" w:hAnsi="Times New Roman" w:cs="Times New Roman" w:eastAsia="黑体"/>
          <w:sz w:val="34"/>
        </w:rPr>
        <w:t>MSH3基因的检测与分析</w:t>
      </w:r>
    </w:p>
    <w:p>
      <w:pPr>
        <w:spacing w:after="320"/>
        <w:jc w:val="center"/>
      </w:pPr>
      <w:r>
        <w:rPr>
          <w:rFonts w:ascii="Times New Roman" w:hAnsi="Times New Roman" w:cs="Times New Roman" w:eastAsia="宋体"/>
          <w:i/>
          <w:color w:val="585858"/>
          <w:sz w:val="22"/>
        </w:rPr>
        <w:t>Detection and Interpretation of the MSH3 Gene</w:t>
      </w:r>
    </w:p>
    <w:tbl>
      <w:tblPr>
        <w:tblW w:type="dxa" w:w="8784"/>
        <w:jc w:val="center"/>
        <w:tblLayout w:type="fixed"/>
        <w:tblLook w:firstColumn="1" w:firstRow="1" w:lastColumn="0" w:lastRow="0" w:noHBand="0" w:noVBand="1" w:val="04A0"/>
      </w:tblPr>
      <w:tblGrid>
        <w:gridCol w:w="2088"/>
        <w:gridCol w:w="6696"/>
      </w:tblGrid>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学院</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生命与健康管理学院</w:t>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专业</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医学检验技术</w:t>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班级</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25医检专升本</w:t>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课程</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基因检测与解读</w:t>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姓名</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学号</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r>
          </w:p>
        </w:tc>
      </w:tr>
      <w:tr>
        <w:trPr>
          <w:trHeight w:hRule="auto"/>
        </w:trPr>
        <w:tc>
          <w:tcPr>
            <w:tcW w:type="dxa" w:w="2088"/>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shd w:fill="F1F4F8"/>
          </w:tcPr>
          <w:p>
            <w:pPr>
              <w:jc w:val="center"/>
            </w:pPr>
            <w:r>
              <w:rPr>
                <w:rFonts w:ascii="Times New Roman" w:hAnsi="Times New Roman" w:cs="Times New Roman" w:eastAsia="宋体"/>
                <w:b/>
                <w:sz w:val="22"/>
              </w:rPr>
              <w:t>提交日期</w:t>
            </w:r>
          </w:p>
        </w:tc>
        <w:tc>
          <w:tcPr>
            <w:tcW w:type="dxa" w:w="6696"/>
            <w:vAlign w:val="center"/>
            <w:tcBorders>
              <w:top w:val="single" w:sz="4" w:color="C9D2DC"/>
              <w:left w:val="single" w:sz="4" w:color="C9D2DC"/>
              <w:bottom w:val="single" w:sz="4" w:color="C9D2DC"/>
              <w:right w:val="single" w:sz="4" w:color="C9D2DC"/>
            </w:tcBorders>
            <w:tcMar>
              <w:top w:w="95" w:type="dxa"/>
              <w:start w:w="150" w:type="dxa"/>
              <w:bottom w:w="95" w:type="dxa"/>
              <w:end w:w="150" w:type="dxa"/>
            </w:tcMar>
          </w:tcPr>
          <w:p>
            <w:pPr>
              <w:jc w:val="left"/>
            </w:pPr>
            <w:r>
              <w:rPr>
                <w:rFonts w:ascii="Times New Roman" w:hAnsi="Times New Roman" w:cs="Times New Roman" w:eastAsia="宋体"/>
                <w:b w:val="0"/>
                <w:sz w:val="22"/>
              </w:rPr>
              <w:t>2026年6月</w:t>
            </w:r>
          </w:p>
        </w:tc>
      </w:tr>
    </w:tbl>
    <w:p>
      <w:pPr>
        <w:sectPr>
          <w:headerReference w:type="default" r:id="rId12"/>
          <w:headerReference w:type="first" r:id="rId13"/>
          <w:footerReference w:type="default" r:id="rId14"/>
          <w:footerReference w:type="first" r:id="rId15"/>
          <w:type w:val="nextPage"/>
          <w:pgSz w:w="11906" w:h="16838"/>
          <w:pgMar w:left="1531" w:right="1247" w:gutter="567" w:header="850" w:top="1417" w:footer="992" w:bottom="1417"/>
          <w:pgNumType w:fmt="decimal"/>
          <w:formProt w:val="false"/>
          <w:textDirection w:val="lrTb"/>
          <w:docGrid w:type="linesAndChars" w:linePitch="312" w:charSpace="0"/>
        </w:sectPr>
      </w:pPr>
    </w:p>
    <w:p>
      <w:pPr>
        <w:spacing w:after="360"/>
        <w:jc w:val="center"/>
      </w:pPr>
      <w:r>
        <w:rPr>
          <w:rFonts w:ascii="Times New Roman" w:hAnsi="Times New Roman" w:cs="Times New Roman" w:eastAsia="黑体"/>
          <w:sz w:val="32"/>
        </w:rPr>
        <w:t>目   录</w:t>
      </w:r>
    </w:p>
    <w:p>
      <w:pPr>
        <w:tabs>
          <w:tab w:pos="8901" w:val="right" w:leader="dot"/>
        </w:tabs>
        <w:spacing w:after="120"/>
        <w:ind w:left="0"/>
      </w:pPr>
      <w:r>
        <w:rPr>
          <w:rFonts w:ascii="Times New Roman" w:hAnsi="Times New Roman" w:cs="Times New Roman" w:eastAsia="宋体"/>
          <w:sz w:val="24"/>
        </w:rPr>
        <w:t>摘要</w:t>
      </w:r>
      <w:r>
        <w:tab/>
      </w:r>
      <w:r>
        <w:rPr>
          <w:rFonts w:ascii="Times New Roman" w:hAnsi="Times New Roman" w:cs="Times New Roman" w:eastAsia="宋体"/>
          <w:sz w:val="24"/>
        </w:rPr>
        <w:t>1</w:t>
      </w:r>
    </w:p>
    <w:p>
      <w:pPr>
        <w:tabs>
          <w:tab w:pos="8901" w:val="right" w:leader="dot"/>
        </w:tabs>
        <w:spacing w:after="120"/>
        <w:ind w:left="0"/>
      </w:pPr>
      <w:r>
        <w:rPr>
          <w:rFonts w:ascii="Times New Roman" w:hAnsi="Times New Roman" w:cs="Times New Roman" w:eastAsia="宋体"/>
          <w:sz w:val="24"/>
        </w:rPr>
        <w:t>Abstract</w:t>
      </w:r>
      <w:r>
        <w:tab/>
      </w:r>
      <w:r>
        <w:rPr>
          <w:rFonts w:ascii="Times New Roman" w:hAnsi="Times New Roman" w:cs="Times New Roman" w:eastAsia="宋体"/>
          <w:sz w:val="24"/>
        </w:rPr>
        <w:t>2</w:t>
      </w:r>
    </w:p>
    <w:p>
      <w:pPr>
        <w:tabs>
          <w:tab w:pos="8901" w:val="right" w:leader="dot"/>
        </w:tabs>
        <w:spacing w:after="120"/>
        <w:ind w:left="0"/>
      </w:pPr>
      <w:r>
        <w:rPr>
          <w:rFonts w:ascii="Times New Roman" w:hAnsi="Times New Roman" w:cs="Times New Roman" w:eastAsia="宋体"/>
          <w:sz w:val="24"/>
        </w:rPr>
        <w:t>引言</w:t>
      </w:r>
      <w:r>
        <w:tab/>
      </w:r>
      <w:r>
        <w:rPr>
          <w:rFonts w:ascii="Times New Roman" w:hAnsi="Times New Roman" w:cs="Times New Roman" w:eastAsia="宋体"/>
          <w:sz w:val="24"/>
        </w:rPr>
        <w:t>3</w:t>
      </w:r>
    </w:p>
    <w:p>
      <w:pPr>
        <w:tabs>
          <w:tab w:pos="8901" w:val="right" w:leader="dot"/>
        </w:tabs>
        <w:spacing w:after="120"/>
        <w:ind w:left="170"/>
      </w:pPr>
      <w:r>
        <w:rPr>
          <w:rFonts w:ascii="Times New Roman" w:hAnsi="Times New Roman" w:cs="Times New Roman" w:eastAsia="宋体"/>
          <w:sz w:val="24"/>
        </w:rPr>
        <w:t>1 文献检索策略与筛选过程</w:t>
      </w:r>
      <w:r>
        <w:tab/>
      </w:r>
      <w:r>
        <w:rPr>
          <w:rFonts w:ascii="Times New Roman" w:hAnsi="Times New Roman" w:cs="Times New Roman" w:eastAsia="宋体"/>
          <w:sz w:val="24"/>
        </w:rPr>
        <w:t>5</w:t>
      </w:r>
    </w:p>
    <w:p>
      <w:pPr>
        <w:tabs>
          <w:tab w:pos="8901" w:val="right" w:leader="dot"/>
        </w:tabs>
        <w:spacing w:after="120"/>
        <w:ind w:left="170"/>
      </w:pPr>
      <w:r>
        <w:rPr>
          <w:rFonts w:ascii="Times New Roman" w:hAnsi="Times New Roman" w:cs="Times New Roman" w:eastAsia="宋体"/>
          <w:sz w:val="24"/>
        </w:rPr>
        <w:t>2 MSH3基因功能与疾病关联</w:t>
      </w:r>
      <w:r>
        <w:tab/>
      </w:r>
      <w:r>
        <w:rPr>
          <w:rFonts w:ascii="Times New Roman" w:hAnsi="Times New Roman" w:cs="Times New Roman" w:eastAsia="宋体"/>
          <w:sz w:val="24"/>
        </w:rPr>
      </w:r>
    </w:p>
    <w:p>
      <w:pPr>
        <w:tabs>
          <w:tab w:pos="8901" w:val="right" w:leader="dot"/>
        </w:tabs>
        <w:spacing w:after="120"/>
        <w:ind w:left="170"/>
      </w:pPr>
      <w:r>
        <w:rPr>
          <w:rFonts w:ascii="Times New Roman" w:hAnsi="Times New Roman" w:cs="Times New Roman" w:eastAsia="宋体"/>
          <w:sz w:val="24"/>
        </w:rPr>
        <w:t>3 MSH3检测技术原理与选择</w:t>
      </w:r>
      <w:r>
        <w:tab/>
      </w:r>
      <w:r>
        <w:rPr>
          <w:rFonts w:ascii="Times New Roman" w:hAnsi="Times New Roman" w:cs="Times New Roman" w:eastAsia="宋体"/>
          <w:sz w:val="24"/>
        </w:rPr>
      </w:r>
    </w:p>
    <w:p>
      <w:pPr>
        <w:tabs>
          <w:tab w:pos="8901" w:val="right" w:leader="dot"/>
        </w:tabs>
        <w:spacing w:after="120"/>
        <w:ind w:left="170"/>
      </w:pPr>
      <w:r>
        <w:rPr>
          <w:rFonts w:ascii="Times New Roman" w:hAnsi="Times New Roman" w:cs="Times New Roman" w:eastAsia="宋体"/>
          <w:sz w:val="24"/>
        </w:rPr>
        <w:t>4 临床案例分析</w:t>
      </w:r>
      <w:r>
        <w:tab/>
      </w:r>
      <w:r>
        <w:rPr>
          <w:rFonts w:ascii="Times New Roman" w:hAnsi="Times New Roman" w:cs="Times New Roman" w:eastAsia="宋体"/>
          <w:sz w:val="24"/>
        </w:rPr>
        <w:t>14</w:t>
      </w:r>
    </w:p>
    <w:p>
      <w:pPr>
        <w:tabs>
          <w:tab w:pos="8901" w:val="right" w:leader="dot"/>
        </w:tabs>
        <w:spacing w:after="120"/>
        <w:ind w:left="170"/>
      </w:pPr>
      <w:r>
        <w:rPr>
          <w:rFonts w:ascii="Times New Roman" w:hAnsi="Times New Roman" w:cs="Times New Roman" w:eastAsia="宋体"/>
          <w:sz w:val="24"/>
        </w:rPr>
        <w:t>5 检验报告、质量控制与临床管理</w:t>
      </w:r>
      <w:r>
        <w:tab/>
      </w:r>
      <w:r>
        <w:rPr>
          <w:rFonts w:ascii="Times New Roman" w:hAnsi="Times New Roman" w:cs="Times New Roman" w:eastAsia="宋体"/>
          <w:sz w:val="24"/>
        </w:rPr>
        <w:t>17</w:t>
      </w:r>
    </w:p>
    <w:p>
      <w:pPr>
        <w:tabs>
          <w:tab w:pos="8901" w:val="right" w:leader="dot"/>
        </w:tabs>
        <w:spacing w:after="120"/>
        <w:ind w:left="170"/>
      </w:pPr>
      <w:r>
        <w:rPr>
          <w:rFonts w:ascii="Times New Roman" w:hAnsi="Times New Roman" w:cs="Times New Roman" w:eastAsia="宋体"/>
          <w:sz w:val="24"/>
        </w:rPr>
        <w:t>6 伦理与法律问题</w:t>
      </w:r>
      <w:r>
        <w:tab/>
      </w:r>
      <w:r>
        <w:rPr>
          <w:rFonts w:ascii="Times New Roman" w:hAnsi="Times New Roman" w:cs="Times New Roman" w:eastAsia="宋体"/>
          <w:sz w:val="24"/>
        </w:rPr>
        <w:t>20</w:t>
      </w:r>
    </w:p>
    <w:p>
      <w:pPr>
        <w:tabs>
          <w:tab w:pos="8901" w:val="right" w:leader="dot"/>
        </w:tabs>
        <w:spacing w:after="120"/>
        <w:ind w:left="170"/>
      </w:pPr>
      <w:r>
        <w:rPr>
          <w:rFonts w:ascii="Times New Roman" w:hAnsi="Times New Roman" w:cs="Times New Roman" w:eastAsia="宋体"/>
          <w:sz w:val="24"/>
        </w:rPr>
        <w:t>7 文献检索与论文写作反思</w:t>
      </w:r>
      <w:r>
        <w:tab/>
      </w:r>
      <w:r>
        <w:rPr>
          <w:rFonts w:ascii="Times New Roman" w:hAnsi="Times New Roman" w:cs="Times New Roman" w:eastAsia="宋体"/>
          <w:sz w:val="24"/>
        </w:rPr>
        <w:t>23</w:t>
      </w:r>
    </w:p>
    <w:p>
      <w:pPr>
        <w:tabs>
          <w:tab w:pos="8901" w:val="right" w:leader="dot"/>
        </w:tabs>
        <w:spacing w:after="120"/>
        <w:ind w:left="0"/>
      </w:pPr>
      <w:r>
        <w:rPr>
          <w:rFonts w:ascii="Times New Roman" w:hAnsi="Times New Roman" w:cs="Times New Roman" w:eastAsia="宋体"/>
          <w:sz w:val="24"/>
        </w:rPr>
        <w:t>结论</w:t>
      </w:r>
      <w:r>
        <w:tab/>
      </w:r>
      <w:r>
        <w:rPr>
          <w:rFonts w:ascii="Times New Roman" w:hAnsi="Times New Roman" w:cs="Times New Roman" w:eastAsia="宋体"/>
          <w:sz w:val="24"/>
        </w:rPr>
        <w:t>24</w:t>
      </w:r>
    </w:p>
    <w:p>
      <w:pPr>
        <w:tabs>
          <w:tab w:pos="8901" w:val="right" w:leader="dot"/>
        </w:tabs>
        <w:spacing w:after="120"/>
        <w:ind w:left="0"/>
      </w:pPr>
      <w:r>
        <w:rPr>
          <w:rFonts w:ascii="Times New Roman" w:hAnsi="Times New Roman" w:cs="Times New Roman" w:eastAsia="宋体"/>
          <w:sz w:val="24"/>
        </w:rPr>
        <w:t>参考文献</w:t>
      </w:r>
      <w:r>
        <w:tab/>
      </w:r>
      <w:r>
        <w:rPr>
          <w:rFonts w:ascii="Times New Roman" w:hAnsi="Times New Roman" w:cs="Times New Roman" w:eastAsia="宋体"/>
          <w:sz w:val="24"/>
        </w:rPr>
        <w:t>25</w:t>
      </w:r>
    </w:p>
    <w:p>
      <w:pPr>
        <w:tabs>
          <w:tab w:pos="8901" w:val="right" w:leader="dot"/>
        </w:tabs>
        <w:spacing w:after="120"/>
        <w:ind w:left="0"/>
      </w:pPr>
      <w:r>
        <w:rPr>
          <w:rFonts w:ascii="Times New Roman" w:hAnsi="Times New Roman" w:cs="Times New Roman" w:eastAsia="宋体"/>
          <w:sz w:val="24"/>
        </w:rPr>
        <w:t>查重报告附页</w:t>
      </w:r>
      <w:r>
        <w:tab/>
      </w:r>
      <w:r>
        <w:rPr>
          <w:rFonts w:ascii="Times New Roman" w:hAnsi="Times New Roman" w:cs="Times New Roman" w:eastAsia="宋体"/>
          <w:sz w:val="24"/>
        </w:rPr>
        <w:t>26</w:t>
      </w:r>
    </w:p>
    <w:p>
      <w:pPr>
        <w:sectPr>
          <w:headerReference w:type="default" r:id="rId21"/>
          <w:footerReference w:type="default" r:id="rId22"/>
          <w:pgSz w:w="11906" w:h="16838"/>
          <w:pgMar w:left="1531" w:right="1247" w:gutter="567" w:header="850" w:top="1417" w:footer="992" w:bottom="1417"/>
          <w:pgNumType w:fmt="decimal"/>
          <w:formProt w:val="false"/>
          <w:textDirection w:val="lrTb"/>
          <w:docGrid w:type="linesAndChars" w:linePitch="312" w:charSpace="0"/>
        </w:sectPr>
      </w:pPr>
    </w:p>
    <w:p>
      <w:pPr>
        <w:pStyle w:val="Heading1"/>
        <w:keepNext/>
        <w:jc w:val="center"/>
      </w:pPr>
      <w:r>
        <w:rPr>
          <w:rFonts w:ascii="Times New Roman" w:hAnsi="Times New Roman" w:cs="Times New Roman" w:eastAsia="黑体"/>
          <w:sz w:val="32"/>
        </w:rPr>
        <w:t>摘要</w:t>
      </w:r>
    </w:p>
    <w:p>
      <w:pPr>
        <w:spacing w:before="0" w:after="0" w:line="300" w:lineRule="auto"/>
        <w:jc w:val="both"/>
      </w:pPr>
      <w:r>
        <w:rPr>
          <w:rFonts w:ascii="Times New Roman" w:hAnsi="Times New Roman" w:cs="Times New Roman" w:eastAsia="宋体"/>
          <w:sz w:val="23"/>
        </w:rPr>
        <w:t>MSH3 是 DNA 错配修复系统中的重要成员，编码的 MutS homolog 3 蛋白可与 MSH2 形成 MutSβ 复合物，参与复制后错配修复，尤其与插入/缺失环和微卫星区域稳定性密切相关。近年来，随着二代测序、多基因遗传性肿瘤 panel、全外显子测序和肿瘤分子检测的发展，MSH3 从传统错配修复背景基因逐渐成为遗传性结直肠腺瘤性息肉病和早发结直肠癌评估中的重要候选基因。现有证据显示，双等位 MSH3 胚系致病变异可导致一种常染色体隐性遗传的腺瘤性息肉病亚型，部分患者可表现为多发结直肠腺瘤、直肠癌或结肠癌，肿瘤组织中可能出现 EMAST、低水平 MSI 或其他错配修复异常线索。本文以 PubMed、NCBI Gene、ClinVar 及相关法律法规资料为主要来源，系统梳理 MSH3 的基因功能、检测技术、变异解释、代表性临床案例及伦理法律问题。分析认为，MSH3 检测应优先服务于未解释的多发腺瘤、早发结直肠癌、家族史阳性或肿瘤错配修复异常等场景；NGS 多基因 panel 是较现实的临床起点，PCR/Sanger 适用于已知变异验证，WES/WGS 适用于常规检测阴性但表型高度可疑病例，MSI、EMAST、IHC 和肿瘤体细胞测序可作为辅助解释工具。医学检验人员在检测和报告审核中，应重视样本质量、覆盖深度、CNV 检出能力、ACMG/AMP 变异分级、ClinVar 数据库版本及遗传咨询需求，同时严格保护基因隐私，避免遗传歧视和过度解读。</w:t>
      </w:r>
    </w:p>
    <w:p>
      <w:pPr>
        <w:spacing w:before="0" w:after="0" w:line="300" w:lineRule="auto"/>
        <w:jc w:val="both"/>
      </w:pPr>
      <w:r>
        <w:rPr>
          <w:rFonts w:ascii="Times New Roman" w:hAnsi="Times New Roman" w:cs="Times New Roman" w:eastAsia="宋体"/>
          <w:b/>
          <w:sz w:val="24"/>
        </w:rPr>
        <w:t>关键词：</w:t>
      </w:r>
      <w:r>
        <w:rPr>
          <w:rFonts w:ascii="Times New Roman" w:hAnsi="Times New Roman" w:cs="Times New Roman" w:eastAsia="宋体"/>
          <w:sz w:val="23"/>
        </w:rPr>
        <w:t>MSH3；错配修复；二代测序；腺瘤性息肉病；结直肠癌；遗传咨询</w:t>
      </w:r>
    </w:p>
    <w:p>
      <w:pPr>
        <w:pStyle w:val="Heading1"/>
        <w:keepNext/>
        <w:jc w:val="center"/>
      </w:pPr>
      <w:r>
        <w:rPr>
          <w:rFonts w:ascii="Times New Roman" w:hAnsi="Times New Roman" w:cs="Times New Roman" w:eastAsia="黑体"/>
          <w:sz w:val="32"/>
        </w:rPr>
        <w:t>Abstract</w:t>
      </w:r>
    </w:p>
    <w:p>
      <w:pPr>
        <w:spacing w:before="0" w:after="0" w:line="300" w:lineRule="auto"/>
        <w:jc w:val="both"/>
      </w:pPr>
      <w:r>
        <w:rPr>
          <w:rFonts w:ascii="Times New Roman" w:hAnsi="Times New Roman" w:cs="Times New Roman" w:eastAsia="宋体"/>
          <w:sz w:val="23"/>
        </w:rPr>
        <w:t>MSH3 encodes MutS homolog 3, a key component of the DNA mismatch repair system. The MSH3 protein forms the MutSβ complex with MSH2 and contributes to the recognition and repair of insertion/deletion loops and microsatellite-associated replication errors. With the widespread use of next-generation sequencing, hereditary cancer panels, whole-exome sequencing and tumor molecular testing, MSH3 has become an increasingly relevant gene in the evaluation of unexplained adenomatous polyposis and early-onset colorectal cancer. Current evidence indicates that biallelic pathogenic germline variants in MSH3 may cause an autosomal recessive subtype of colorectal adenomatous polyposis. Affected patients may present with multiple colorectal adenomas, rectal cancer or colon cancer, while tumor tissues may show EMAST, low-level microsatellite instability or other signs of mismatch repair dysfunction. This paper reviews the biological function, testing methods, variant interpretation, representative clinical cases, and ethical and legal issues related to MSH3. Multigene NGS panels are considered a practical first-line approach in clinically selected patients, while PCR/Sanger sequencing, WES/WGS, CNV analysis, MSI/EMAST testing, IHC and somatic tumor sequencing should be selected according to the clinical question. Laboratory professionals should pay attention to sample quality, sequencing coverage, CNV detection, ACMG/AMP classification, ClinVar evidence, genetic counseling, privacy protection and prevention of genetic discrimination.</w:t>
      </w:r>
    </w:p>
    <w:p>
      <w:pPr>
        <w:spacing w:before="0" w:after="0" w:line="300" w:lineRule="auto"/>
        <w:jc w:val="both"/>
      </w:pPr>
      <w:r>
        <w:rPr>
          <w:rFonts w:ascii="Times New Roman" w:hAnsi="Times New Roman" w:cs="Times New Roman" w:eastAsia="宋体"/>
          <w:b/>
          <w:sz w:val="24"/>
        </w:rPr>
        <w:t>Keywords:</w:t>
      </w:r>
      <w:r>
        <w:rPr>
          <w:rFonts w:ascii="Times New Roman" w:hAnsi="Times New Roman" w:cs="Times New Roman" w:eastAsia="宋体"/>
          <w:sz w:val="23"/>
        </w:rPr>
        <w:t xml:space="preserve"> MSH3; mismatch repair; next-generation sequencing; adenomatous polyposis; colorectal cancer; genetic counseling</w:t>
      </w:r>
    </w:p>
    <w:p>
      <w:pPr>
        <w:spacing w:before="0" w:after="0"/>
      </w:pPr>
      <w:r>
        <w:br w:type="page"/>
      </w:r>
    </w:p>
    <w:p>
      <w:pPr>
        <w:pStyle w:val="Heading1"/>
        <w:keepNext/>
        <w:jc w:val="center"/>
      </w:pPr>
      <w:r>
        <w:rPr>
          <w:rFonts w:ascii="Times New Roman" w:hAnsi="Times New Roman" w:cs="Times New Roman" w:eastAsia="黑体"/>
          <w:sz w:val="32"/>
        </w:rPr>
        <w:t>引言</w:t>
      </w:r>
    </w:p>
    <w:p>
      <w:pPr>
        <w:spacing w:before="0" w:after="0" w:line="360" w:lineRule="auto"/>
        <w:ind w:firstLine="480"/>
        <w:jc w:val="both"/>
      </w:pPr>
      <w:r>
        <w:rPr>
          <w:rFonts w:ascii="Times New Roman" w:hAnsi="Times New Roman" w:cs="Times New Roman" w:eastAsia="宋体"/>
          <w:sz w:val="24"/>
        </w:rPr>
        <w:t>基因检测已经成为医学检验和精准医学的重要组成部分。与传统生化、免疫或形态学检验相比，基因检测不仅可以解释患者当前疾病，还可能提示其家系成员的遗传风险、未来肿瘤风险和长期随访策略。因此，对某一基因进行检测与解读，不能只停留在“检出或未检出突变”的层面，而应包括检测适应证、技术路线、变异分级、临床证据、伦理法律和报告沟通等完整环节。</w:t>
      </w:r>
    </w:p>
    <w:p>
      <w:pPr>
        <w:spacing w:before="0" w:after="0" w:line="360" w:lineRule="auto"/>
        <w:ind w:firstLine="480"/>
        <w:jc w:val="both"/>
      </w:pPr>
      <w:r>
        <w:rPr>
          <w:rFonts w:ascii="Times New Roman" w:hAnsi="Times New Roman" w:cs="Times New Roman" w:eastAsia="宋体"/>
          <w:sz w:val="24"/>
        </w:rPr>
        <w:t>MSH3 是错配修复系统中的成员之一。经典遗传性结直肠癌教学常重点讨论 MLH1、MSH2、MSH6、PMS2 和 EPCAM 与 Lynch 综合征的关系，而 MSH3 长期处于相对边缘的位置。近年研究改变了这种认识。Adam 等在未解释的结直肠腺瘤性息肉病患者中发现双等位 MSH3 胚系功能缺失变异，提出其可导致常染色体隐性遗传的腺瘤性息肉病亚型[2]。随后 Villy 等、Aelvoet 等和 Koi 等报道了新的患者和家系，进一步支持 MSH3 相关息肉病的临床真实性[3-5]。2025 年腺瘤性息肉病综述和早发结直肠癌研究也将 MSH3 放在遗传性结直肠肿瘤检测 panel 和表型分层检测策略中讨论[6,9]。</w:t>
      </w:r>
    </w:p>
    <w:p>
      <w:pPr>
        <w:spacing w:before="0" w:after="0" w:line="360" w:lineRule="auto"/>
        <w:ind w:firstLine="480"/>
        <w:jc w:val="both"/>
      </w:pPr>
      <w:r>
        <w:rPr>
          <w:rFonts w:ascii="Times New Roman" w:hAnsi="Times New Roman" w:cs="Times New Roman" w:eastAsia="宋体"/>
          <w:sz w:val="24"/>
        </w:rPr>
        <w:t>从医学检验角度看，MSH3 的价值不只在于“多一个基因”。它提示检验人员需要理解三类问题：第一，DNA 错配修复缺陷如何从分子层面影响肿瘤发生；第二，二代测序、全外显子测序、CNV 分析、MSI/EMAST、IHC 等技术如何分别回答不同临床问题；第三，罕见基因检测结果如何谨慎解释，避免把 VUS 或单项肿瘤检测结果当成明确诊断。本文围绕“MSH3基因的检测与分析”展开综述，力求在文献证据、技术原理、案例分析和伦理法律之间建立完整联系。</w:t>
      </w:r>
    </w:p>
    <w:p>
      <w:pPr>
        <w:spacing w:before="0" w:after="0"/>
      </w:pPr>
      <w:r>
        <w:br w:type="page"/>
      </w:r>
    </w:p>
    <w:p>
      <w:pPr>
        <w:pStyle w:val="Heading1"/>
        <w:keepNext/>
        <w:jc w:val="left"/>
      </w:pPr>
      <w:r>
        <w:rPr>
          <w:rFonts w:ascii="Times New Roman" w:hAnsi="Times New Roman" w:cs="Times New Roman" w:eastAsia="黑体"/>
          <w:sz w:val="32"/>
        </w:rPr>
        <w:t>1 文献检索策略与筛选过程</w:t>
      </w:r>
    </w:p>
    <w:p>
      <w:pPr>
        <w:pStyle w:val="Heading2"/>
        <w:keepNext/>
        <w:jc w:val="left"/>
      </w:pPr>
      <w:r>
        <w:rPr>
          <w:rFonts w:ascii="Times New Roman" w:hAnsi="Times New Roman" w:cs="Times New Roman" w:eastAsia="黑体"/>
          <w:sz w:val="28"/>
        </w:rPr>
        <w:t>1.1 检索需求分析</w:t>
      </w:r>
    </w:p>
    <w:p>
      <w:pPr>
        <w:spacing w:before="0" w:after="0" w:line="360" w:lineRule="auto"/>
        <w:ind w:firstLine="480"/>
        <w:jc w:val="both"/>
      </w:pPr>
      <w:r>
        <w:rPr>
          <w:rFonts w:ascii="Times New Roman" w:hAnsi="Times New Roman" w:cs="Times New Roman" w:eastAsia="宋体"/>
          <w:sz w:val="24"/>
        </w:rPr>
        <w:t>本论文的检索需求来自课程任务书的四项内容要求：文献检索、技术原理阐述、临床案例分析和伦理法律探讨。围绕这些要求，检索问题被拆分为四组：MSH3 的基本功能与错配修复机制；MSH3 胚系变异与腺瘤性息肉病、结直肠癌的临床证据；MSH3 检测技术、变异解释和报告流程；基因检测中隐私、歧视、知情同意和人类遗传资源合规问题。</w:t>
      </w:r>
    </w:p>
    <w:p>
      <w:pPr>
        <w:spacing w:before="0" w:after="0" w:line="360" w:lineRule="auto"/>
        <w:ind w:firstLine="480"/>
        <w:jc w:val="both"/>
      </w:pPr>
      <w:r>
        <w:rPr>
          <w:rFonts w:ascii="Times New Roman" w:hAnsi="Times New Roman" w:cs="Times New Roman" w:eastAsia="宋体"/>
          <w:sz w:val="24"/>
        </w:rPr>
        <w:t>英文数据库以 PubMed 为主，原因是 MSH3 属于医学遗传和肿瘤分子检测主题，PubMed 可提供 PMID、期刊、作者、年份、摘要和 DOI 等可核验信息。官方数据库使用 NCBI Gene 和 ClinVar，用于核对基因名称、定位、功能摘要和变异解释入口。伦理法律部分使用中国政府网、全国人大相关法律法规页面和美国 EEOC 关于 GINA 的官方页面，避免引用来源不明的商业解读。</w:t>
      </w:r>
    </w:p>
    <w:p>
      <w:pPr>
        <w:pStyle w:val="Heading2"/>
        <w:keepNext/>
        <w:jc w:val="left"/>
      </w:pPr>
      <w:r>
        <w:rPr>
          <w:rFonts w:ascii="Times New Roman" w:hAnsi="Times New Roman" w:cs="Times New Roman" w:eastAsia="黑体"/>
          <w:sz w:val="28"/>
        </w:rPr>
        <w:t>1.2 检索式与结果</w:t>
      </w:r>
    </w:p>
    <w:p>
      <w:pPr>
        <w:spacing w:before="160" w:after="80"/>
        <w:jc w:val="center"/>
      </w:pPr>
      <w:r>
        <w:rPr>
          <w:rFonts w:ascii="Times New Roman" w:hAnsi="Times New Roman" w:cs="Times New Roman" w:eastAsia="宋体"/>
          <w:sz w:val="21"/>
        </w:rPr>
        <w:t>表 1 MSH3文献检索与筛选流程概要</w:t>
      </w:r>
    </w:p>
    <w:tbl>
      <w:tblPr>
        <w:tblW w:type="dxa" w:w="9792"/>
        <w:jc w:val="center"/>
        <w:tblLayout w:type="fixed"/>
        <w:tblLook w:firstColumn="1" w:firstRow="1" w:lastColumn="0" w:lastRow="0" w:noHBand="0" w:noVBand="1" w:val="04A0"/>
      </w:tblPr>
      <w:tblGrid>
        <w:gridCol w:w="2232"/>
        <w:gridCol w:w="4680"/>
        <w:gridCol w:w="2880"/>
      </w:tblGrid>
      <w:tr>
        <w:trPr>
          <w:trHeight w:hRule="auto"/>
          <w:tblHeader w:val="true"/>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检索层级</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检索式或来源</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结果与筛选目的</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宽检索</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`("MSH3"[Title/Abstract] OR "MutS homolog 3"[Title/Abstract]) AND (gene testing OR sequencing OR panel OR variant OR polyposis OR colorectal cancer)`</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PubMed 返回 480 条，用于建立候选池</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近 5 年息肉病/肿瘤</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`("MSH3"[Title/Abstract]) AND (polyposis OR colorectal) AND (2020:2026[pdat])`</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返回 59 条，优先筛选近年前沿临床研究</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病例与家系</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`("MSH3"[Title/Abstract]) AND (case report OR family OR biallelic OR germline)`</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返回 159 条，用于选择典型病例和家系研究</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错配修复与微卫星</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`("MSH3"[Title/Abstract]) AND (microsatellite instability OR mismatch repair OR EMAST) AND (2020:2026[pdat])`</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返回 127 条，用于机制和肿瘤辅助检测章节</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检测与变异解释</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`("MSH3"[Title/Abstract]) AND (panel OR exome OR sequencing OR ClinVar OR ACMG OR variant) AND (2020:2026[pdat])`</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返回 149 条，用于 NGS、WES/WGS 和报告解释</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官方数据库</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NCBI Gene、ClinVar</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核对 MSH3 基因功能和临床变异数据库</w:t>
            </w:r>
          </w:p>
        </w:tc>
      </w:tr>
    </w:tbl>
    <w:p>
      <w:pPr>
        <w:spacing w:after="80"/>
      </w:pPr>
    </w:p>
    <w:p>
      <w:pPr>
        <w:pStyle w:val="Heading2"/>
        <w:keepNext/>
        <w:jc w:val="left"/>
      </w:pPr>
      <w:r>
        <w:rPr>
          <w:rFonts w:ascii="Times New Roman" w:hAnsi="Times New Roman" w:cs="Times New Roman" w:eastAsia="黑体"/>
          <w:sz w:val="28"/>
        </w:rPr>
        <w:t>1.3 纳入与排除</w:t>
      </w:r>
    </w:p>
    <w:p>
      <w:pPr>
        <w:spacing w:before="0" w:after="0" w:line="360" w:lineRule="auto"/>
        <w:ind w:firstLine="480"/>
        <w:jc w:val="both"/>
      </w:pPr>
      <w:r>
        <w:rPr>
          <w:rFonts w:ascii="Times New Roman" w:hAnsi="Times New Roman" w:cs="Times New Roman" w:eastAsia="宋体"/>
          <w:sz w:val="24"/>
        </w:rPr>
        <w:t>纳入文献优先满足以下条件：直接讨论 MSH3；可提供 PMID 或 DOI；与腺瘤性息肉病、早发结直肠癌、错配修复、MSI/EMAST、NGS panel、WES/WGS 或变异解释有关；近 5 年文献优先，但经典发现性文献作为基础保留。排除仅在参考文献中出现 MSH3、正文主题与 MSH3 无关、无法核验来源或主要为商业检测宣传的资料。</w:t>
      </w:r>
    </w:p>
    <w:p>
      <w:pPr>
        <w:spacing w:before="0" w:after="0" w:line="360" w:lineRule="auto"/>
        <w:ind w:firstLine="480"/>
        <w:jc w:val="both"/>
      </w:pPr>
      <w:r>
        <w:rPr>
          <w:rFonts w:ascii="Times New Roman" w:hAnsi="Times New Roman" w:cs="Times New Roman" w:eastAsia="宋体"/>
          <w:sz w:val="24"/>
        </w:rPr>
        <w:t>最终核心证据包括 14 篇期刊论文、2 个 NCBI 官方数据库入口和 4 个伦理法律法规来源。其中英文期刊文献明显超过 5 篇，满足任务书对资料搜集的高分要求。为避免把搜索结果片段当成结论，本文在写作前建立了 `MSH3_LITERATURE_SEARCH_RECORD.md`、`MSH3_EVIDENCE_MATRIX.md` 和 `MSH3_CORE_LITERATURE_NOTES.md`，将检索式、PMID、DOI、证据类型和论文用途分别记录。</w:t>
      </w:r>
    </w:p>
    <w:p>
      <w:pPr>
        <w:pStyle w:val="Heading1"/>
        <w:keepNext/>
        <w:jc w:val="left"/>
      </w:pPr>
      <w:r>
        <w:rPr>
          <w:rFonts w:ascii="Times New Roman" w:hAnsi="Times New Roman" w:cs="Times New Roman" w:eastAsia="黑体"/>
          <w:sz w:val="32"/>
        </w:rPr>
        <w:t>2 MSH3基因功能与疾病关联</w:t>
      </w:r>
    </w:p>
    <w:p>
      <w:pPr>
        <w:pStyle w:val="Heading2"/>
        <w:keepNext/>
        <w:jc w:val="left"/>
      </w:pPr>
      <w:r>
        <w:rPr>
          <w:rFonts w:ascii="Times New Roman" w:hAnsi="Times New Roman" w:cs="Times New Roman" w:eastAsia="黑体"/>
          <w:sz w:val="28"/>
        </w:rPr>
        <w:t>2.1 基因定位与蛋白功能</w:t>
      </w:r>
    </w:p>
    <w:p>
      <w:pPr>
        <w:spacing w:before="0" w:after="0" w:line="360" w:lineRule="auto"/>
        <w:ind w:firstLine="480"/>
        <w:jc w:val="both"/>
      </w:pPr>
      <w:r>
        <w:rPr>
          <w:rFonts w:ascii="Times New Roman" w:hAnsi="Times New Roman" w:cs="Times New Roman" w:eastAsia="宋体"/>
          <w:sz w:val="24"/>
        </w:rPr>
        <w:t>NCBI Gene 记录显示，MSH3 位于 5q14.1，编码 MutS homolog 3，别名包括 DUP、FAP4 和 MRP1[1]。MSH3 蛋白可与 MSH2 形成 MutSβ 复合物，属于复制后 DNA 错配修复系统的一部分。与 MSH2-MSH6 形成的 MutSα 相比，MutSβ 更常与较大的插入/缺失环识别相关，因此 MSH3 缺陷容易与微卫星区域变化、四核苷酸重复改变和 EMAST 表型联系起来。</w:t>
      </w:r>
    </w:p>
    <w:p>
      <w:pPr>
        <w:spacing w:before="0" w:after="0" w:line="360" w:lineRule="auto"/>
        <w:ind w:firstLine="480"/>
        <w:jc w:val="both"/>
      </w:pPr>
      <w:r>
        <w:rPr>
          <w:rFonts w:ascii="Times New Roman" w:hAnsi="Times New Roman" w:cs="Times New Roman" w:eastAsia="宋体"/>
          <w:sz w:val="24"/>
        </w:rPr>
        <w:t>DNA 错配修复系统的作用可以理解为复制后的“校对和修补”。当 DNA 复制过程中出现碱基错配或插入/缺失环时，MutS 复合物先识别异常结构，再与 MutL 相关复合物协同，启动切除和重新合成。若修复功能受损，错误会累积并形成微卫星不稳定性。结直肠癌中 MSI 和 MMR 缺陷不仅影响肿瘤发生，也影响分子分型、预后判断和免疫治疗策略[11]。但 MSH3 与经典 Lynch 综合征基因不同，其最明确临床证据目前集中在双等位胚系变异导致的腺瘤性息肉病，而不是典型 Lynch 综合征。</w:t>
      </w:r>
    </w:p>
    <w:p>
      <w:pPr>
        <w:pStyle w:val="Heading2"/>
        <w:keepNext/>
        <w:jc w:val="left"/>
      </w:pPr>
      <w:r>
        <w:rPr>
          <w:rFonts w:ascii="Times New Roman" w:hAnsi="Times New Roman" w:cs="Times New Roman" w:eastAsia="黑体"/>
          <w:sz w:val="28"/>
        </w:rPr>
        <w:t>2.2 MSH3与腺瘤性息肉病</w:t>
      </w:r>
    </w:p>
    <w:p>
      <w:pPr>
        <w:spacing w:before="0" w:after="0" w:line="360" w:lineRule="auto"/>
        <w:ind w:firstLine="480"/>
        <w:jc w:val="both"/>
      </w:pPr>
      <w:r>
        <w:rPr>
          <w:rFonts w:ascii="Times New Roman" w:hAnsi="Times New Roman" w:cs="Times New Roman" w:eastAsia="宋体"/>
          <w:sz w:val="24"/>
        </w:rPr>
        <w:t>腺瘤性息肉病并非单一疾病。传统上，APC 相关家族性腺瘤性息肉病和 MUTYH 相关息肉病最为常见；随着 NGS 的应用，POLE、POLD1、NTHL1、MSH3、MLH3 等基因也被纳入遗传性息肉病的讨论[6,7]。MSH3 的重要特点是罕见、隐性遗传倾向明显、与双等位致病变异相关性更强。</w:t>
      </w:r>
    </w:p>
    <w:p>
      <w:pPr>
        <w:spacing w:before="0" w:after="0" w:line="360" w:lineRule="auto"/>
        <w:ind w:firstLine="480"/>
        <w:jc w:val="both"/>
      </w:pPr>
      <w:r>
        <w:rPr>
          <w:rFonts w:ascii="Times New Roman" w:hAnsi="Times New Roman" w:cs="Times New Roman" w:eastAsia="宋体"/>
          <w:sz w:val="24"/>
        </w:rPr>
        <w:t>Adam 等对 102 名未解释的腺瘤性息肉病患者进行外显子测序，发现两个无关个体携带不同的复合杂合 MSH3 功能缺失胚系变异，并从 RNA、蛋白和肿瘤组织层面证明变异影响[2]。这一研究使 MSH3 从“DNA 修复背景基因”进入遗传性息肉病候选基因范围。随后 Villy 等报告 5 名新的 MSH3 相关息肉病患者，提出 MSH3 可作为腺瘤性息肉病的确认易感基因，同时强调患者肿瘤可出现 EMAST 表型[3]。</w:t>
      </w:r>
    </w:p>
    <w:p>
      <w:pPr>
        <w:pStyle w:val="Heading2"/>
        <w:keepNext/>
        <w:jc w:val="left"/>
      </w:pPr>
      <w:r>
        <w:rPr>
          <w:rFonts w:ascii="Times New Roman" w:hAnsi="Times New Roman" w:cs="Times New Roman" w:eastAsia="黑体"/>
          <w:sz w:val="28"/>
        </w:rPr>
        <w:t>2.3 与结直肠癌和肿瘤演化的关系</w:t>
      </w:r>
    </w:p>
    <w:p>
      <w:pPr>
        <w:spacing w:before="0" w:after="0" w:line="360" w:lineRule="auto"/>
        <w:ind w:firstLine="480"/>
        <w:jc w:val="both"/>
      </w:pPr>
      <w:r>
        <w:rPr>
          <w:rFonts w:ascii="Times New Roman" w:hAnsi="Times New Roman" w:cs="Times New Roman" w:eastAsia="宋体"/>
          <w:sz w:val="24"/>
        </w:rPr>
        <w:t>MSH3 相关病例常以多发腺瘤为基础，部分患者发展为直肠癌或结肠癌。Dardenne 等在早发结直肠癌患者中按表型分析胚系致病变异，发现 MMRd 或伴息肉表型的病例更容易检出有意义的胚系变异，提示遗传检测应结合年龄、肿瘤 MMR 状态、息肉负荷和家族史，而不应仅凭单一年龄阈值决定[9]。</w:t>
      </w:r>
    </w:p>
    <w:p>
      <w:pPr>
        <w:spacing w:before="0" w:after="0" w:line="360" w:lineRule="auto"/>
        <w:ind w:firstLine="480"/>
        <w:jc w:val="both"/>
      </w:pPr>
      <w:r>
        <w:rPr>
          <w:rFonts w:ascii="Times New Roman" w:hAnsi="Times New Roman" w:cs="Times New Roman" w:eastAsia="宋体"/>
          <w:sz w:val="24"/>
        </w:rPr>
        <w:t>前沿机制研究还提示，MSH3 可参与 MMR 缺陷肿瘤的演化。Kayhanian 等发现 MMR 缺陷结直肠癌中 MSH6 和 MSH3 的编码同聚物改变可影响突变率、突变偏向和新抗原多样性[10]。这一方向说明 MSH3 研究不仅服务于遗传诊断，也可能与肿瘤微环境、免疫治疗反应和耐药演化相关。但在课程论文中需要谨慎区分：肿瘤演化研究不等同于常规临床检测适应证，不能直接推导出所有结直肠癌患者都必须检测 MSH3 胚系变异。</w:t>
      </w:r>
    </w:p>
    <w:p>
      <w:pPr>
        <w:pStyle w:val="Heading1"/>
        <w:keepNext/>
        <w:jc w:val="left"/>
      </w:pPr>
      <w:r>
        <w:rPr>
          <w:rFonts w:ascii="Times New Roman" w:hAnsi="Times New Roman" w:cs="Times New Roman" w:eastAsia="黑体"/>
          <w:sz w:val="32"/>
        </w:rPr>
        <w:t>3 MSH3检测技术原理与选择</w:t>
      </w:r>
    </w:p>
    <w:p>
      <w:pPr>
        <w:pStyle w:val="Heading2"/>
        <w:keepNext/>
        <w:jc w:val="left"/>
      </w:pPr>
      <w:r>
        <w:rPr>
          <w:rFonts w:ascii="Times New Roman" w:hAnsi="Times New Roman" w:cs="Times New Roman" w:eastAsia="黑体"/>
          <w:sz w:val="28"/>
        </w:rPr>
        <w:t>3.1 检测目的决定技术路径</w:t>
      </w:r>
    </w:p>
    <w:p>
      <w:pPr>
        <w:spacing w:before="0" w:after="0" w:line="360" w:lineRule="auto"/>
        <w:ind w:firstLine="480"/>
        <w:jc w:val="both"/>
      </w:pPr>
      <w:r>
        <w:rPr>
          <w:rFonts w:ascii="Times New Roman" w:hAnsi="Times New Roman" w:cs="Times New Roman" w:eastAsia="宋体"/>
          <w:sz w:val="24"/>
        </w:rPr>
        <w:t>MSH3 检测的第一步不是选择仪器，而是明确临床问题。若目的是验证家系中已知变异，PCR 扩增后 Sanger 测序即可满足许多场景；若目的是解释未明原因的多发腺瘤或早发结直肠癌，NGS 遗传性结直肠癌/息肉病多基因 panel 更合适；若常规 panel 阴性但表型高度可疑，WES 或 WGS 可以扩大检出范围；若需要解释肿瘤组织错配修复状态，则应结合 MSI、EMAST、IHC 和肿瘤体细胞测序。</w:t>
      </w:r>
    </w:p>
    <w:p>
      <w:pPr>
        <w:spacing w:before="0" w:after="0" w:line="360" w:lineRule="auto"/>
        <w:ind w:firstLine="480"/>
        <w:jc w:val="both"/>
      </w:pPr>
      <w:r>
        <w:rPr>
          <w:rFonts w:ascii="Times New Roman" w:hAnsi="Times New Roman" w:cs="Times New Roman" w:eastAsia="宋体"/>
          <w:sz w:val="24"/>
        </w:rPr>
        <w:t>表 2 对常见技术进行比较。</w:t>
      </w:r>
    </w:p>
    <w:p>
      <w:pPr>
        <w:spacing w:before="160" w:after="80"/>
        <w:jc w:val="center"/>
      </w:pPr>
      <w:r>
        <w:rPr>
          <w:rFonts w:ascii="Times New Roman" w:hAnsi="Times New Roman" w:cs="Times New Roman" w:eastAsia="宋体"/>
          <w:sz w:val="21"/>
        </w:rPr>
        <w:t>表 2 MSH3常用检测技术比较</w:t>
      </w:r>
    </w:p>
    <w:tbl>
      <w:tblPr>
        <w:tblW w:type="dxa" w:w="9792"/>
        <w:jc w:val="center"/>
        <w:tblLayout w:type="fixed"/>
        <w:tblLook w:firstColumn="1" w:firstRow="1" w:lastColumn="0" w:lastRow="0" w:noHBand="0" w:noVBand="1" w:val="04A0"/>
      </w:tblPr>
      <w:tblGrid>
        <w:gridCol w:w="2232"/>
        <w:gridCol w:w="4680"/>
        <w:gridCol w:w="2880"/>
      </w:tblGrid>
      <w:tr>
        <w:trPr>
          <w:trHeight w:hRule="auto"/>
          <w:tblHeader w:val="true"/>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技术</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原理与适用场景</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优点与局限</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PCR/Sanger 测序</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扩增 MSH3 特定外显子或已知变异区域后测序，适用于家系已知变异验证、低通量复核</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结果直观、成本低，但不适合一次性筛查大基因和多个候选基因</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NGS 多基因 panel</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同时捕获 APC、MUTYH、POLE、POLD1、NTHL1、MSH3 等遗传性结直肠癌/息肉病基因</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临床实用性强，可提高罕见基因检出率；但 VUS 增多，panel 范围和覆盖深度影响结果</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WES/WGS</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对全外显子或全基因组进行测序，适用于常规 panel 阴性但表型强烈提示遗传病的病例</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可发现新基因或 panel 外变异；成本、数据解释和偶然发现压力更高</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MLPA/CNV 分析</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检测大片段缺失、重复或拷贝数异常</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可补充测序对结构变异检出不足；需确认 panel 是否已包含 CNV 能力</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MSI/EMAST 检测</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通过微卫星标志物评价肿瘤组织不稳定性，EMAST 更关注四核苷酸重复改变</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可提示肿瘤 MMR 异常和 MSH3 相关线索；不等同于胚系诊断</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IHC</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观察肿瘤组织 MMR 蛋白表达</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可用于 MLH1/MSH2/MSH6/PMS2 等常规 MMR 筛查；MSH3 常规 IHC 应用不如经典 MMR 蛋白普遍</w:t>
            </w:r>
          </w:p>
        </w:tc>
      </w:tr>
      <w:tr>
        <w:trPr>
          <w:trHeight w:hRule="auto"/>
          <w:cantSplit w:val="true"/>
        </w:trPr>
        <w:tc>
          <w:tcPr>
            <w:tcW w:type="dxa" w:w="2232"/>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肿瘤体细胞测序</w:t>
            </w:r>
          </w:p>
        </w:tc>
        <w:tc>
          <w:tcPr>
            <w:tcW w:type="dxa" w:w="46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分析肿瘤组织中的 MSH3、MSH6 等体细胞改变、MSI 相关突变和突变负荷</w:t>
            </w:r>
          </w:p>
        </w:tc>
        <w:tc>
          <w:tcPr>
            <w:tcW w:type="dxa" w:w="2880"/>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有助于解释肿瘤演化和治疗相关信息；需与胚系结果区分</w:t>
            </w:r>
          </w:p>
        </w:tc>
      </w:tr>
    </w:tbl>
    <w:p>
      <w:pPr>
        <w:spacing w:after="80"/>
      </w:pPr>
    </w:p>
    <w:p>
      <w:pPr>
        <w:pStyle w:val="Heading2"/>
        <w:keepNext/>
        <w:jc w:val="left"/>
      </w:pPr>
      <w:r>
        <w:rPr>
          <w:rFonts w:ascii="Times New Roman" w:hAnsi="Times New Roman" w:cs="Times New Roman" w:eastAsia="黑体"/>
          <w:sz w:val="28"/>
        </w:rPr>
        <w:t>3.2 PCR与Sanger测序</w:t>
      </w:r>
    </w:p>
    <w:p>
      <w:pPr>
        <w:spacing w:before="0" w:after="0" w:line="360" w:lineRule="auto"/>
        <w:ind w:firstLine="480"/>
        <w:jc w:val="both"/>
      </w:pPr>
      <w:r>
        <w:rPr>
          <w:rFonts w:ascii="Times New Roman" w:hAnsi="Times New Roman" w:cs="Times New Roman" w:eastAsia="宋体"/>
          <w:sz w:val="24"/>
        </w:rPr>
        <w:t>PCR 的核心是利用特异性引物对目标片段进行指数扩增。对 MSH3 而言，PCR/Sanger 更适合已知位点验证，例如家系中已经明确存在某一剪接位点变异或终止变异时，对亲属进行针对性检测。该方法的关键环节包括引物特异性、模板 DNA 质量、扩增片段大小、退火温度、污染控制和双向测序峰图判读。</w:t>
      </w:r>
    </w:p>
    <w:p>
      <w:pPr>
        <w:spacing w:before="0" w:after="0" w:line="360" w:lineRule="auto"/>
        <w:ind w:firstLine="480"/>
        <w:jc w:val="both"/>
      </w:pPr>
      <w:r>
        <w:rPr>
          <w:rFonts w:ascii="Times New Roman" w:hAnsi="Times New Roman" w:cs="Times New Roman" w:eastAsia="宋体"/>
          <w:sz w:val="24"/>
        </w:rPr>
        <w:t>PCR/Sanger 的优势是结果清楚、成本相对低、适合小规模验证。其局限也明显：MSH3 基因较大，逐外显子检测效率低；对低比例嵌合、大片段缺失重复、复杂结构变异和多个基因并行检测能力不足。因此，若临床问题是“患者为何出现多发腺瘤”，单独 Sanger MSH3 并不是理想首选，除非已有家系变异或强证据指向某个位点。</w:t>
      </w:r>
    </w:p>
    <w:p>
      <w:pPr>
        <w:pStyle w:val="Heading2"/>
        <w:keepNext/>
        <w:jc w:val="left"/>
      </w:pPr>
      <w:r>
        <w:rPr>
          <w:rFonts w:ascii="Times New Roman" w:hAnsi="Times New Roman" w:cs="Times New Roman" w:eastAsia="黑体"/>
          <w:sz w:val="28"/>
        </w:rPr>
        <w:t>3.3 NGS多基因panel</w:t>
      </w:r>
    </w:p>
    <w:p>
      <w:pPr>
        <w:spacing w:before="0" w:after="0" w:line="360" w:lineRule="auto"/>
        <w:ind w:firstLine="480"/>
        <w:jc w:val="both"/>
      </w:pPr>
      <w:r>
        <w:rPr>
          <w:rFonts w:ascii="Times New Roman" w:hAnsi="Times New Roman" w:cs="Times New Roman" w:eastAsia="宋体"/>
          <w:sz w:val="24"/>
        </w:rPr>
        <w:t>NGS 多基因 panel 是当前 MSH3 临床检测最现实的技术路径。遗传性结直肠癌和息肉病具有高度遗传异质性，APC、MUTYH、POLE、POLD1、NTHL1、MSH3 等基因可产生相似或重叠表型。Rebuzzi 等指出，NGS 使遗传性结直肠癌检测从单基因转向多基因，但也带来基因选择、低证据基因和 VUS 增加的问题[7]。</w:t>
      </w:r>
    </w:p>
    <w:p>
      <w:pPr>
        <w:spacing w:before="0" w:after="0" w:line="360" w:lineRule="auto"/>
        <w:ind w:firstLine="480"/>
        <w:jc w:val="both"/>
      </w:pPr>
      <w:r>
        <w:rPr>
          <w:rFonts w:ascii="Times New Roman" w:hAnsi="Times New Roman" w:cs="Times New Roman" w:eastAsia="宋体"/>
          <w:sz w:val="24"/>
        </w:rPr>
        <w:t>一个合格的 MSH3 panel 检测应关注以下质量指标：目标区域覆盖是否完整；平均测序深度和最低覆盖深度是否满足实验室标准；是否能检出外显子级 CNV；是否报告低质量区域；是否提供变异注释版本；是否说明 VUS 的临床使用限制。医学检验人员在审核报告时，不应只查看“阳性/阴性”，还应查看 panel 是否包含 MSH3、是否覆盖全部编码外显子及剪接区域、是否对可疑变异进行 Sanger 或其他方法确认。</w:t>
      </w:r>
    </w:p>
    <w:p>
      <w:pPr>
        <w:pStyle w:val="Heading2"/>
        <w:keepNext/>
        <w:jc w:val="left"/>
      </w:pPr>
      <w:r>
        <w:rPr>
          <w:rFonts w:ascii="Times New Roman" w:hAnsi="Times New Roman" w:cs="Times New Roman" w:eastAsia="黑体"/>
          <w:sz w:val="28"/>
        </w:rPr>
        <w:t>3.4 WES/WGS和CNV检测</w:t>
      </w:r>
    </w:p>
    <w:p>
      <w:pPr>
        <w:spacing w:before="0" w:after="0" w:line="360" w:lineRule="auto"/>
        <w:ind w:firstLine="480"/>
        <w:jc w:val="both"/>
      </w:pPr>
      <w:r>
        <w:rPr>
          <w:rFonts w:ascii="Times New Roman" w:hAnsi="Times New Roman" w:cs="Times New Roman" w:eastAsia="宋体"/>
          <w:sz w:val="24"/>
        </w:rPr>
        <w:t>WES 和 WGS 适合用于常规基因 panel 未能解释强临床表型的患者。Dos Santos 等 2025 年研究显示，对于 APC/MUTYH 阴性的疑似息肉病患者，全外显子测序可帮助识别新的胚系致病变异[10]。WES/WGS 的优势是覆盖范围更广，有机会发现 panel 外基因、罕见变异和新候选基因；局限是成本、数据量、解释难度和偶然发现明显增加。</w:t>
      </w:r>
    </w:p>
    <w:p>
      <w:pPr>
        <w:spacing w:before="0" w:after="0" w:line="360" w:lineRule="auto"/>
        <w:ind w:firstLine="480"/>
        <w:jc w:val="both"/>
      </w:pPr>
      <w:r>
        <w:rPr>
          <w:rFonts w:ascii="Times New Roman" w:hAnsi="Times New Roman" w:cs="Times New Roman" w:eastAsia="宋体"/>
          <w:sz w:val="24"/>
        </w:rPr>
        <w:t>CNV 分析是 MSH3 检测中容易被忽视的部分。若检测平台仅能识别 SNV 和小 indel，则可能漏检外显子级缺失或重复。Aelvoet 等家系研究采用了 NGS 和拷贝数变异分析，体现了多发息肉病遗传检测不能只关注点突变[4]。临床报告中应明确说明 CNV 检出能力；若 panel 不支持 CNV，必要时可使用 MLPA、qPCR、芯片或其他方法补充。</w:t>
      </w:r>
    </w:p>
    <w:p>
      <w:pPr>
        <w:pStyle w:val="Heading2"/>
        <w:keepNext/>
        <w:jc w:val="left"/>
      </w:pPr>
      <w:r>
        <w:rPr>
          <w:rFonts w:ascii="Times New Roman" w:hAnsi="Times New Roman" w:cs="Times New Roman" w:eastAsia="黑体"/>
          <w:sz w:val="28"/>
        </w:rPr>
        <w:t>3.5 肿瘤MSI、EMAST、IHC和体细胞测序</w:t>
      </w:r>
    </w:p>
    <w:p>
      <w:pPr>
        <w:spacing w:before="0" w:after="0" w:line="360" w:lineRule="auto"/>
        <w:ind w:firstLine="480"/>
        <w:jc w:val="both"/>
      </w:pPr>
      <w:r>
        <w:rPr>
          <w:rFonts w:ascii="Times New Roman" w:hAnsi="Times New Roman" w:cs="Times New Roman" w:eastAsia="宋体"/>
          <w:sz w:val="24"/>
        </w:rPr>
        <w:t>MSI 检测常用于评价肿瘤错配修复缺陷。MSH3 相关肿瘤可能出现 EMAST，即 selected tetranucleotide repeats 的微卫星改变。Villy 等和 Koi 等均强调 MSH3 缺陷与 EMAST 表型的联系[3,5]。不过，EMAST 并非所有机构的常规检测项目，且其与胚系 MSH3 致病变异之间不是简单一一对应关系。</w:t>
      </w:r>
    </w:p>
    <w:p>
      <w:pPr>
        <w:spacing w:before="0" w:after="0" w:line="360" w:lineRule="auto"/>
        <w:ind w:firstLine="480"/>
        <w:jc w:val="both"/>
      </w:pPr>
      <w:r>
        <w:rPr>
          <w:rFonts w:ascii="Times New Roman" w:hAnsi="Times New Roman" w:cs="Times New Roman" w:eastAsia="宋体"/>
          <w:sz w:val="24"/>
        </w:rPr>
        <w:t>IHC 在 MLH1、MSH2、MSH6、PMS2 等经典 MMR 蛋白筛查中应用广泛，但 MSH3 IHC 并不像这些蛋白一样成为普遍标准流程。Xu 等 2024 年关于 pMMR/MSI-H 结直肠癌的研究提醒，MSI 与 MMR 蛋白表达之间可能存在不一致场景，需要结合分子机制和测序结果综合解释[12]。因此，当患者肿瘤存在 MSI、EMAST 或异常 MMR 线索时，检验报告应建议结合胚系检测、肿瘤体细胞测序、家族史和病理结果共同判断。</w:t>
      </w:r>
    </w:p>
    <w:p>
      <w:pPr>
        <w:pStyle w:val="Heading2"/>
        <w:keepNext/>
        <w:jc w:val="left"/>
      </w:pPr>
      <w:r>
        <w:rPr>
          <w:rFonts w:ascii="Times New Roman" w:hAnsi="Times New Roman" w:cs="Times New Roman" w:eastAsia="黑体"/>
          <w:sz w:val="28"/>
        </w:rPr>
        <w:t>3.6 变异解释流程</w:t>
      </w:r>
    </w:p>
    <w:p>
      <w:pPr>
        <w:spacing w:before="0" w:after="0" w:line="360" w:lineRule="auto"/>
        <w:ind w:firstLine="480"/>
        <w:jc w:val="both"/>
      </w:pPr>
      <w:r>
        <w:rPr>
          <w:rFonts w:ascii="Times New Roman" w:hAnsi="Times New Roman" w:cs="Times New Roman" w:eastAsia="宋体"/>
          <w:sz w:val="24"/>
        </w:rPr>
        <w:t>MSH3 变异解释应遵循 ACMG/AMP 框架。Richards 等提出的序列变异解释标准将变异分为致病、可能致病、意义未明、可能良性和良性等等级[15]。对课程论文主题而言，最需要强调的是 VUS 的处理：VUS 不是诊断结论，不应作为预防性手术、强制家系检测或重大治疗决策的唯一依据。</w:t>
      </w:r>
    </w:p>
    <w:p>
      <w:pPr>
        <w:spacing w:before="0" w:after="0" w:line="360" w:lineRule="auto"/>
        <w:ind w:firstLine="480"/>
        <w:jc w:val="both"/>
      </w:pPr>
      <w:r>
        <w:rPr>
          <w:rFonts w:ascii="Times New Roman" w:hAnsi="Times New Roman" w:cs="Times New Roman" w:eastAsia="宋体"/>
          <w:sz w:val="24"/>
        </w:rPr>
        <w:t>实际解释流程可分为六步：第一，核对样本来源和检测质量；第二，确认变异类型，如无义、移码、剪接、错义或 CNV；第三，查询 ClinVar、gnomAD 等数据库和文献；第四，结合 ACMG/AMP 证据条目进行分级；第五，评估患者表型、息肉数、发病年龄、家族史和肿瘤检测结果；第六，必要时进行亲属共分离分析或功能验证。对于 MSH3，双等位致病或可能致病变异更支持 MSH3 相关息肉病诊断；单等位变异或 VUS 需要谨慎解释。</w:t>
      </w:r>
    </w:p>
    <w:p>
      <w:pPr>
        <w:pStyle w:val="Heading1"/>
        <w:keepNext/>
        <w:jc w:val="left"/>
      </w:pPr>
      <w:r>
        <w:rPr>
          <w:rFonts w:ascii="Times New Roman" w:hAnsi="Times New Roman" w:cs="Times New Roman" w:eastAsia="黑体"/>
          <w:sz w:val="32"/>
        </w:rPr>
        <w:t>4 临床案例分析</w:t>
      </w:r>
    </w:p>
    <w:p>
      <w:pPr>
        <w:pStyle w:val="Heading2"/>
        <w:keepNext/>
        <w:jc w:val="left"/>
      </w:pPr>
      <w:r>
        <w:rPr>
          <w:rFonts w:ascii="Times New Roman" w:hAnsi="Times New Roman" w:cs="Times New Roman" w:eastAsia="黑体"/>
          <w:sz w:val="28"/>
        </w:rPr>
        <w:t>4.1 案例一：外显子测序发现双等位MSH3变异</w:t>
      </w:r>
    </w:p>
    <w:p>
      <w:pPr>
        <w:spacing w:before="0" w:after="0" w:line="360" w:lineRule="auto"/>
        <w:ind w:firstLine="480"/>
        <w:jc w:val="both"/>
      </w:pPr>
      <w:r>
        <w:rPr>
          <w:rFonts w:ascii="Times New Roman" w:hAnsi="Times New Roman" w:cs="Times New Roman" w:eastAsia="宋体"/>
          <w:sz w:val="24"/>
        </w:rPr>
        <w:t>Adam 等研究的临床意义在于，它回答了“APC、MUTYH 等常见基因阴性后怎么办”的问题。研究纳入 102 名未解释的腺瘤性息肉病患者，通过白细胞 DNA 外显子测序发现两个无关个体携带不同的 MSH3 复合杂合功能缺失变异[2]。患者表现为结直肠腺瘤性息肉病，既往常规基因无法解释。研究还在 RNA、蛋白和肿瘤组织层面验证 MSH3 变异影响。</w:t>
      </w:r>
    </w:p>
    <w:p>
      <w:pPr>
        <w:spacing w:before="0" w:after="0" w:line="360" w:lineRule="auto"/>
        <w:ind w:firstLine="480"/>
        <w:jc w:val="both"/>
      </w:pPr>
      <w:r>
        <w:rPr>
          <w:rFonts w:ascii="Times New Roman" w:hAnsi="Times New Roman" w:cs="Times New Roman" w:eastAsia="宋体"/>
          <w:sz w:val="24"/>
        </w:rPr>
        <w:t>这一案例对临床检测有三点启示。第一，强表型但常见基因阴性时，扩大检测范围具有价值。第二，发现罕见基因变异后，不能只停留在测序结果，还要结合功能证据和肿瘤组织证据。第三，MSH3 相关疾病更符合常染色体隐性遗传特点，家系分析应关注双等位状态，而不应把单个杂合变异简单解释为发病原因。</w:t>
      </w:r>
    </w:p>
    <w:p>
      <w:pPr>
        <w:pStyle w:val="Heading2"/>
        <w:keepNext/>
        <w:jc w:val="left"/>
      </w:pPr>
      <w:r>
        <w:rPr>
          <w:rFonts w:ascii="Times New Roman" w:hAnsi="Times New Roman" w:cs="Times New Roman" w:eastAsia="黑体"/>
          <w:sz w:val="28"/>
        </w:rPr>
        <w:t>4.2 案例二：MSH3相关息肉病大家系</w:t>
      </w:r>
    </w:p>
    <w:p>
      <w:pPr>
        <w:spacing w:before="0" w:after="0" w:line="360" w:lineRule="auto"/>
        <w:ind w:firstLine="480"/>
        <w:jc w:val="both"/>
      </w:pPr>
      <w:r>
        <w:rPr>
          <w:rFonts w:ascii="Times New Roman" w:hAnsi="Times New Roman" w:cs="Times New Roman" w:eastAsia="宋体"/>
          <w:sz w:val="24"/>
        </w:rPr>
        <w:t>Aelvoet 等报道的大家系是课程论文中最适合展示遗传咨询价值的案例。先证者为 55 岁男性，诊断为直肠癌和腺瘤性息肉病，累计 52 枚息肉，并有结直肠息肉病家族史。研究采用结直肠癌和息肉病相关基因 panel 及 CNV 分析，发现 MSH3 复合杂合胚系致病变异。随后对 11 名同胞中的 9 名进行基因分型，发现部分同胞携带同样变异并出现腺瘤[4]。</w:t>
      </w:r>
    </w:p>
    <w:p>
      <w:pPr>
        <w:spacing w:before="0" w:after="0" w:line="360" w:lineRule="auto"/>
        <w:ind w:firstLine="480"/>
        <w:jc w:val="both"/>
      </w:pPr>
      <w:r>
        <w:rPr>
          <w:rFonts w:ascii="Times New Roman" w:hAnsi="Times New Roman" w:cs="Times New Roman" w:eastAsia="宋体"/>
          <w:sz w:val="24"/>
        </w:rPr>
        <w:t>该案例体现了检测目的从个人诊断延伸到家系风险评估。对先证者而言，检测帮助解释直肠癌和息肉病背景；对同胞而言，检测有助于识别高风险成员并安排结肠镜随访；对未携带双等位变异的亲属而言，检测也可能减少不必要焦虑和过度检查。检验人员在报告中应清楚写明变异类型、双等位状态、证据等级、检测范围和亲属检测建议，同时提示结果需要遗传咨询解释。</w:t>
      </w:r>
    </w:p>
    <w:p>
      <w:pPr>
        <w:pStyle w:val="Heading2"/>
        <w:keepNext/>
        <w:jc w:val="left"/>
      </w:pPr>
      <w:r>
        <w:rPr>
          <w:rFonts w:ascii="Times New Roman" w:hAnsi="Times New Roman" w:cs="Times New Roman" w:eastAsia="黑体"/>
          <w:sz w:val="28"/>
        </w:rPr>
        <w:t>4.3 案例三：复合杂合变异与肿瘤MMR异常</w:t>
      </w:r>
    </w:p>
    <w:p>
      <w:pPr>
        <w:spacing w:before="0" w:after="0" w:line="360" w:lineRule="auto"/>
        <w:ind w:firstLine="480"/>
        <w:jc w:val="both"/>
      </w:pPr>
      <w:r>
        <w:rPr>
          <w:rFonts w:ascii="Times New Roman" w:hAnsi="Times New Roman" w:cs="Times New Roman" w:eastAsia="宋体"/>
          <w:sz w:val="24"/>
        </w:rPr>
        <w:t>Koi 等描述的患者 43 岁发生侵袭性中分化结肠腺癌。胚系多基因 panel 检出 MSH3 c.2436-1G&gt;A 致病变异和 MSH3 c.3265A&gt;T 终止变异，家系检测证明两变异分别来自父母，构成复合杂合状态。肿瘤 DNA 显示低水平 MSI 和 selected tetranucleotide repeats 的 EMAST 表型，提示肿瘤体细胞 DNA 错配修复功能异常[5]。</w:t>
      </w:r>
    </w:p>
    <w:p>
      <w:pPr>
        <w:spacing w:before="0" w:after="0" w:line="360" w:lineRule="auto"/>
        <w:ind w:firstLine="480"/>
        <w:jc w:val="both"/>
      </w:pPr>
      <w:r>
        <w:rPr>
          <w:rFonts w:ascii="Times New Roman" w:hAnsi="Times New Roman" w:cs="Times New Roman" w:eastAsia="宋体"/>
          <w:sz w:val="24"/>
        </w:rPr>
        <w:t>这个案例说明，MSH3 检测不应被孤立理解。胚系 panel 负责回答“患者是否携带可遗传的 MSH3 变异”；肿瘤 MSI/EMAST 和体细胞测序负责回答“肿瘤是否显示相应修复异常”；家系检测负责回答“两枚变异是否来自不同亲本以及亲属风险如何”。只有将三类证据结合，才能形成较可靠的临床解释。</w:t>
      </w:r>
    </w:p>
    <w:p>
      <w:pPr>
        <w:pStyle w:val="Heading2"/>
        <w:keepNext/>
        <w:jc w:val="left"/>
      </w:pPr>
      <w:r>
        <w:rPr>
          <w:rFonts w:ascii="Times New Roman" w:hAnsi="Times New Roman" w:cs="Times New Roman" w:eastAsia="黑体"/>
          <w:sz w:val="28"/>
        </w:rPr>
        <w:t>4.4 案例四：早发结直肠癌中的表型分层检测</w:t>
      </w:r>
    </w:p>
    <w:p>
      <w:pPr>
        <w:spacing w:before="0" w:after="0" w:line="360" w:lineRule="auto"/>
        <w:ind w:firstLine="480"/>
        <w:jc w:val="both"/>
      </w:pPr>
      <w:r>
        <w:rPr>
          <w:rFonts w:ascii="Times New Roman" w:hAnsi="Times New Roman" w:cs="Times New Roman" w:eastAsia="宋体"/>
          <w:sz w:val="24"/>
        </w:rPr>
        <w:t>Dardenne 等 2025 年研究从早发结直肠癌角度提示，胚系检测并不是所有患者收益相同。研究按表型分析早发结直肠癌患者的胚系致病变异，发现 MMRd 结直肠癌和伴息肉表型病例中检出率更高，而 MMR proficient 且无息肉患者的检出率较低[9]。这为 MSH3 检测提供了重要现实边界：如果患者年轻、伴多发息肉、家族史阳性或肿瘤 MMR 异常，则纳入 MSH3 的多基因 panel 更有价值；如果缺乏这些线索，检测前应充分说明可能收益和不确定性。</w:t>
      </w:r>
    </w:p>
    <w:p>
      <w:pPr>
        <w:pStyle w:val="Heading2"/>
        <w:keepNext/>
        <w:jc w:val="left"/>
      </w:pPr>
      <w:r>
        <w:rPr>
          <w:rFonts w:ascii="Times New Roman" w:hAnsi="Times New Roman" w:cs="Times New Roman" w:eastAsia="黑体"/>
          <w:sz w:val="28"/>
        </w:rPr>
        <w:t>4.5 临床证据矩阵</w:t>
      </w:r>
    </w:p>
    <w:p>
      <w:pPr>
        <w:spacing w:before="160" w:after="80"/>
        <w:jc w:val="center"/>
      </w:pPr>
      <w:r>
        <w:rPr>
          <w:rFonts w:ascii="Times New Roman" w:hAnsi="Times New Roman" w:cs="Times New Roman" w:eastAsia="宋体"/>
          <w:sz w:val="21"/>
        </w:rPr>
        <w:t>表 3 MSH3临床证据与案例矩阵</w:t>
      </w:r>
    </w:p>
    <w:tbl>
      <w:tblPr>
        <w:tblW w:type="dxa" w:w="9863"/>
        <w:jc w:val="center"/>
        <w:tblLayout w:type="fixed"/>
        <w:tblLook w:firstColumn="1" w:firstRow="1" w:lastColumn="0" w:lastRow="0" w:noHBand="0" w:noVBand="1" w:val="04A0"/>
      </w:tblPr>
      <w:tblGrid>
        <w:gridCol w:w="2088"/>
        <w:gridCol w:w="2951"/>
        <w:gridCol w:w="2376"/>
        <w:gridCol w:w="2448"/>
      </w:tblGrid>
      <w:tr>
        <w:trPr>
          <w:trHeight w:hRule="auto"/>
          <w:tblHeader w:val="true"/>
          <w:cantSplit w:val="true"/>
        </w:trPr>
        <w:tc>
          <w:tcPr>
            <w:tcW w:type="dxa" w:w="208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临床场景</w:t>
            </w:r>
          </w:p>
        </w:tc>
        <w:tc>
          <w:tcPr>
            <w:tcW w:type="dxa" w:w="2951"/>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代表证据</w:t>
            </w:r>
          </w:p>
        </w:tc>
        <w:tc>
          <w:tcPr>
            <w:tcW w:type="dxa" w:w="237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检测目的</w:t>
            </w:r>
          </w:p>
        </w:tc>
        <w:tc>
          <w:tcPr>
            <w:tcW w:type="dxa" w:w="244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shd w:fill="E8EEF5"/>
          </w:tcPr>
          <w:p>
            <w:pPr>
              <w:spacing w:before="0" w:after="40" w:line="276" w:lineRule="auto"/>
              <w:jc w:val="center"/>
            </w:pPr>
            <w:r>
              <w:rPr>
                <w:rFonts w:ascii="Times New Roman" w:hAnsi="Times New Roman" w:cs="Times New Roman" w:eastAsia="宋体"/>
                <w:b/>
                <w:sz w:val="18"/>
              </w:rPr>
              <w:t>解读重点</w:t>
            </w:r>
          </w:p>
        </w:tc>
      </w:tr>
      <w:tr>
        <w:trPr>
          <w:trHeight w:hRule="auto"/>
          <w:cantSplit w:val="true"/>
        </w:trPr>
        <w:tc>
          <w:tcPr>
            <w:tcW w:type="dxa" w:w="208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未解释的多发腺瘤</w:t>
            </w:r>
          </w:p>
        </w:tc>
        <w:tc>
          <w:tcPr>
            <w:tcW w:type="dxa" w:w="2951"/>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Adam 2016；Villy 2023</w:t>
            </w:r>
          </w:p>
        </w:tc>
        <w:tc>
          <w:tcPr>
            <w:tcW w:type="dxa" w:w="237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发现罕见隐性息肉病基因</w:t>
            </w:r>
          </w:p>
        </w:tc>
        <w:tc>
          <w:tcPr>
            <w:tcW w:type="dxa" w:w="244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双等位 MSH3 致病变异更有诊断意义</w:t>
            </w:r>
          </w:p>
        </w:tc>
      </w:tr>
      <w:tr>
        <w:trPr>
          <w:trHeight w:hRule="auto"/>
          <w:cantSplit w:val="true"/>
        </w:trPr>
        <w:tc>
          <w:tcPr>
            <w:tcW w:type="dxa" w:w="208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直肠癌伴多发腺瘤大家系</w:t>
            </w:r>
          </w:p>
        </w:tc>
        <w:tc>
          <w:tcPr>
            <w:tcW w:type="dxa" w:w="2951"/>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Aelvoet 2023</w:t>
            </w:r>
          </w:p>
        </w:tc>
        <w:tc>
          <w:tcPr>
            <w:tcW w:type="dxa" w:w="237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先证者诊断和亲属级联筛查</w:t>
            </w:r>
          </w:p>
        </w:tc>
        <w:tc>
          <w:tcPr>
            <w:tcW w:type="dxa" w:w="244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家系共分离、结肠镜随访和遗传咨询</w:t>
            </w:r>
          </w:p>
        </w:tc>
      </w:tr>
      <w:tr>
        <w:trPr>
          <w:trHeight w:hRule="auto"/>
          <w:cantSplit w:val="true"/>
        </w:trPr>
        <w:tc>
          <w:tcPr>
            <w:tcW w:type="dxa" w:w="208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早发结肠癌伴复合杂合变异</w:t>
            </w:r>
          </w:p>
        </w:tc>
        <w:tc>
          <w:tcPr>
            <w:tcW w:type="dxa" w:w="2951"/>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Koi 2024</w:t>
            </w:r>
          </w:p>
        </w:tc>
        <w:tc>
          <w:tcPr>
            <w:tcW w:type="dxa" w:w="237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胚系变异与肿瘤 MMR 异常整合</w:t>
            </w:r>
          </w:p>
        </w:tc>
        <w:tc>
          <w:tcPr>
            <w:tcW w:type="dxa" w:w="244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MSI/EMAST、体细胞改变和胚系结果综合解读</w:t>
            </w:r>
          </w:p>
        </w:tc>
      </w:tr>
      <w:tr>
        <w:trPr>
          <w:trHeight w:hRule="auto"/>
          <w:cantSplit w:val="true"/>
        </w:trPr>
        <w:tc>
          <w:tcPr>
            <w:tcW w:type="dxa" w:w="208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早发结直肠癌表型分层</w:t>
            </w:r>
          </w:p>
        </w:tc>
        <w:tc>
          <w:tcPr>
            <w:tcW w:type="dxa" w:w="2951"/>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Dardenne 2025</w:t>
            </w:r>
          </w:p>
        </w:tc>
        <w:tc>
          <w:tcPr>
            <w:tcW w:type="dxa" w:w="2376"/>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决定是否进行多基因检测</w:t>
            </w:r>
          </w:p>
        </w:tc>
        <w:tc>
          <w:tcPr>
            <w:tcW w:type="dxa" w:w="2448"/>
            <w:vAlign w:val="center"/>
            <w:tcBorders>
              <w:top w:val="single" w:sz="4" w:color="B8C2CC"/>
              <w:left w:val="single" w:sz="4" w:color="B8C2CC"/>
              <w:bottom w:val="single" w:sz="4" w:color="B8C2CC"/>
              <w:right w:val="single" w:sz="4" w:color="B8C2CC"/>
            </w:tcBorders>
            <w:tcMar>
              <w:top w:w="100" w:type="dxa"/>
              <w:start w:w="130" w:type="dxa"/>
              <w:bottom w:w="100" w:type="dxa"/>
              <w:end w:w="130" w:type="dxa"/>
            </w:tcMar>
          </w:tcPr>
          <w:p>
            <w:pPr>
              <w:spacing w:before="0" w:after="40" w:line="276" w:lineRule="auto"/>
              <w:jc w:val="left"/>
            </w:pPr>
            <w:r>
              <w:rPr>
                <w:rFonts w:ascii="Times New Roman" w:hAnsi="Times New Roman" w:cs="Times New Roman" w:eastAsia="宋体"/>
                <w:b w:val="0"/>
                <w:sz w:val="18"/>
              </w:rPr>
              <w:t>年龄、息肉数、MMRd、家族史共同判断</w:t>
            </w:r>
          </w:p>
        </w:tc>
      </w:tr>
    </w:tbl>
    <w:p>
      <w:pPr>
        <w:spacing w:after="80"/>
      </w:pPr>
    </w:p>
    <w:p>
      <w:pPr>
        <w:pStyle w:val="Heading1"/>
        <w:keepNext/>
        <w:jc w:val="left"/>
      </w:pPr>
      <w:r>
        <w:rPr>
          <w:rFonts w:ascii="Times New Roman" w:hAnsi="Times New Roman" w:cs="Times New Roman" w:eastAsia="黑体"/>
          <w:sz w:val="32"/>
        </w:rPr>
        <w:t>5 检验报告、质量控制与临床管理</w:t>
      </w:r>
    </w:p>
    <w:p>
      <w:pPr>
        <w:pStyle w:val="Heading2"/>
        <w:keepNext/>
        <w:jc w:val="left"/>
      </w:pPr>
      <w:r>
        <w:rPr>
          <w:rFonts w:ascii="Times New Roman" w:hAnsi="Times New Roman" w:cs="Times New Roman" w:eastAsia="黑体"/>
          <w:sz w:val="28"/>
        </w:rPr>
        <w:t>5.1 报告结构</w:t>
      </w:r>
    </w:p>
    <w:p>
      <w:pPr>
        <w:spacing w:before="0" w:after="0" w:line="360" w:lineRule="auto"/>
        <w:ind w:firstLine="480"/>
        <w:jc w:val="both"/>
      </w:pPr>
      <w:r>
        <w:rPr>
          <w:rFonts w:ascii="Times New Roman" w:hAnsi="Times New Roman" w:cs="Times New Roman" w:eastAsia="宋体"/>
          <w:sz w:val="24"/>
        </w:rPr>
        <w:t>一份规范的 MSH3 检测报告至少应包含：样本类型、检测方法、检测范围、测序质量、变异名称、基因组版本、转录本编号、变异类型、ACMG/AMP 分级、数据库和文献证据、临床意义解释、检测局限、建议和签发人员。若检测用于遗传性息肉病或肿瘤易感，应说明是否检测 CNV、是否覆盖剪接区域、是否建议遗传咨询和亲属验证。</w:t>
      </w:r>
    </w:p>
    <w:p>
      <w:pPr>
        <w:spacing w:before="0" w:after="0" w:line="360" w:lineRule="auto"/>
        <w:ind w:firstLine="480"/>
        <w:jc w:val="both"/>
      </w:pPr>
      <w:r>
        <w:rPr>
          <w:rFonts w:ascii="Times New Roman" w:hAnsi="Times New Roman" w:cs="Times New Roman" w:eastAsia="宋体"/>
          <w:sz w:val="24"/>
        </w:rPr>
        <w:t>报告语言需要避免绝对化。例如，“检出 MSH3 VUS”不能写成“诊断 MSH3 相关息肉病”；“未检出 MSH3 致病变异”也不能写成“排除所有遗传性息肉病”，因为 panel 范围、覆盖深度、结构变异、深内含子变异、表观遗传改变和未知基因都可能影响结论。更合适的写法是：在本次检测范围和技术条件下，未发现可解释当前表型的 MSH3 致病或可能致病变异，建议结合临床表型、家族史和必要的其他检测继续评估。</w:t>
      </w:r>
    </w:p>
    <w:p>
      <w:pPr>
        <w:pStyle w:val="Heading2"/>
        <w:keepNext/>
        <w:jc w:val="left"/>
      </w:pPr>
      <w:r>
        <w:rPr>
          <w:rFonts w:ascii="Times New Roman" w:hAnsi="Times New Roman" w:cs="Times New Roman" w:eastAsia="黑体"/>
          <w:sz w:val="28"/>
        </w:rPr>
        <w:t>5.2 质量控制关键点</w:t>
      </w:r>
    </w:p>
    <w:p>
      <w:pPr>
        <w:spacing w:before="0" w:after="0" w:line="360" w:lineRule="auto"/>
        <w:ind w:firstLine="480"/>
        <w:jc w:val="both"/>
      </w:pPr>
      <w:r>
        <w:rPr>
          <w:rFonts w:ascii="Times New Roman" w:hAnsi="Times New Roman" w:cs="Times New Roman" w:eastAsia="宋体"/>
          <w:sz w:val="24"/>
        </w:rPr>
        <w:t>MSH3 检测涉及从样本到报告的多个质量控制节点。采样阶段需要确认身份、抗凝剂、样本保存和运输条件；建库阶段需关注 DNA 完整性、浓度和污染；测序阶段需关注读长、Q30、平均深度、目标区域覆盖度和重复率；生物信息分析阶段需关注比对版本、变异调用参数、过滤阈值、CNV 算法和数据库版本；报告阶段需关注变异命名是否符合 HGVS、参考基因组和转录本是否明确、ACMG/AMP 证据是否充分。</w:t>
      </w:r>
    </w:p>
    <w:p>
      <w:pPr>
        <w:spacing w:before="0" w:after="0" w:line="360" w:lineRule="auto"/>
        <w:ind w:firstLine="480"/>
        <w:jc w:val="both"/>
      </w:pPr>
      <w:r>
        <w:rPr>
          <w:rFonts w:ascii="Times New Roman" w:hAnsi="Times New Roman" w:cs="Times New Roman" w:eastAsia="宋体"/>
          <w:sz w:val="24"/>
        </w:rPr>
        <w:t>对于肿瘤组织检测，还要考虑肿瘤细胞含量、固定时间、FFPE DNA 降解、正常组织对照、肿瘤异质性和体细胞/胚系区分。若肿瘤中检出 MSH3 相关改变，不代表患者一定携带胚系变异；若胚系中检出 MSH3 变异，也不代表肿瘤所有分子表型都由该变异单独决定。医学检验人员需要把检测局限写入报告，并在必要时建议遗传门诊或肿瘤多学科团队讨论。</w:t>
      </w:r>
    </w:p>
    <w:p>
      <w:pPr>
        <w:pStyle w:val="Heading2"/>
        <w:keepNext/>
        <w:jc w:val="left"/>
      </w:pPr>
      <w:r>
        <w:rPr>
          <w:rFonts w:ascii="Times New Roman" w:hAnsi="Times New Roman" w:cs="Times New Roman" w:eastAsia="黑体"/>
          <w:sz w:val="28"/>
        </w:rPr>
        <w:t>5.3 临床管理意义</w:t>
      </w:r>
    </w:p>
    <w:p>
      <w:pPr>
        <w:spacing w:before="0" w:after="0" w:line="360" w:lineRule="auto"/>
        <w:ind w:firstLine="480"/>
        <w:jc w:val="both"/>
      </w:pPr>
      <w:r>
        <w:rPr>
          <w:rFonts w:ascii="Times New Roman" w:hAnsi="Times New Roman" w:cs="Times New Roman" w:eastAsia="宋体"/>
          <w:sz w:val="24"/>
        </w:rPr>
        <w:t>MSH3 检测的临床意义主要体现在四方面。第一，帮助解释未明原因的多发腺瘤或早发结直肠癌，为患者提供更精准的病因判断。第二，指导家系成员检测和随访，尤其是双等位致病变异家系中同胞风险较高。第三，辅助制定结肠镜监测、息肉处理和肿瘤风险管理方案。第四，在肿瘤层面补充 MMR/MSI 机制理解，为预后和治疗讨论提供背景。</w:t>
      </w:r>
    </w:p>
    <w:p>
      <w:pPr>
        <w:spacing w:before="0" w:after="0" w:line="360" w:lineRule="auto"/>
        <w:ind w:firstLine="480"/>
        <w:jc w:val="both"/>
      </w:pPr>
      <w:r>
        <w:rPr>
          <w:rFonts w:ascii="Times New Roman" w:hAnsi="Times New Roman" w:cs="Times New Roman" w:eastAsia="宋体"/>
          <w:sz w:val="24"/>
        </w:rPr>
        <w:t>需要强调的是，MSH3 检测结果不能替代临床诊断和随访。结肠镜、病理、肿瘤分期、家族史和患者意愿仍然是管理方案的重要依据。对罕见基因而言，文献证据、数据库解释和指南建议会不断更新，因此报告后随访和再分析同样重要。</w:t>
      </w:r>
    </w:p>
    <w:p>
      <w:pPr>
        <w:pStyle w:val="Heading2"/>
        <w:keepNext/>
        <w:jc w:val="left"/>
      </w:pPr>
      <w:r>
        <w:rPr>
          <w:rFonts w:ascii="Times New Roman" w:hAnsi="Times New Roman" w:cs="Times New Roman" w:eastAsia="黑体"/>
          <w:sz w:val="28"/>
        </w:rPr>
        <w:t>5.4 MSH3检测与解读路径</w:t>
      </w:r>
    </w:p>
    <w:p>
      <w:pPr>
        <w:spacing w:before="0" w:after="0"/>
      </w:pPr>
      <w:r>
        <w:br w:type="page"/>
      </w:r>
    </w:p>
    <w:p>
      <w:pPr>
        <w:spacing w:before="160" w:after="80"/>
        <w:jc w:val="center"/>
      </w:pPr>
      <w:r>
        <w:rPr>
          <w:rFonts w:ascii="Times New Roman" w:hAnsi="Times New Roman" w:cs="Times New Roman" w:eastAsia="宋体"/>
          <w:sz w:val="21"/>
        </w:rPr>
        <w:t>图 1 MSH3检测与解读的临床路径</w:t>
      </w:r>
    </w:p>
    <w:tbl>
      <w:tblPr>
        <w:tblW w:type="dxa" w:w="8640"/>
        <w:jc w:val="center"/>
        <w:tblLayout w:type="fixed"/>
        <w:tblLook w:firstColumn="1" w:firstRow="1" w:lastColumn="0" w:lastRow="0" w:noHBand="0" w:noVBand="1" w:val="04A0"/>
      </w:tblPr>
      <w:tblGrid>
        <w:gridCol w:w="8640"/>
      </w:tblGrid>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疑似遗传性结直肠腺瘤性息肉病、早发结直肠癌或家族史阳性</w:t>
            </w:r>
          </w:p>
        </w:tc>
      </w:tr>
      <w:tr>
        <w:trPr>
          <w:trHeight w:hRule="auto"/>
        </w:trPr>
        <w:tc>
          <w:tcPr>
            <w:tcW w:type="dxa" w:w="8640"/>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检测前遗传咨询：说明检测目的、范围、局限、可能结果和隐私风险</w:t>
            </w:r>
          </w:p>
        </w:tc>
      </w:tr>
      <w:tr>
        <w:trPr>
          <w:trHeight w:hRule="auto"/>
        </w:trPr>
        <w:tc>
          <w:tcPr>
            <w:tcW w:type="dxa" w:w="8640"/>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选择检测方法：NGS多基因panel为起点，必要时补充CNV、WES/WGS或已知位点Sanger验证</w:t>
            </w:r>
          </w:p>
        </w:tc>
      </w:tr>
      <w:tr>
        <w:trPr>
          <w:trHeight w:hRule="auto"/>
        </w:trPr>
        <w:tc>
          <w:tcPr>
            <w:tcW w:type="dxa" w:w="8640"/>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获得结果：P/LP、VUS、LB/B或未检出明确变异</w:t>
            </w:r>
          </w:p>
        </w:tc>
      </w:tr>
      <w:tr>
        <w:trPr>
          <w:trHeight w:hRule="auto"/>
        </w:trPr>
        <w:tc>
          <w:tcPr>
            <w:tcW w:type="dxa" w:w="8640"/>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结合表型：息肉数量、发病年龄、家族史、肿瘤MSI/EMAST/IHC和体细胞测序</w:t>
            </w:r>
          </w:p>
        </w:tc>
      </w:tr>
      <w:tr>
        <w:trPr>
          <w:trHeight w:hRule="auto"/>
        </w:trPr>
        <w:tc>
          <w:tcPr>
            <w:tcW w:type="dxa" w:w="8640"/>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双等位MSH3 P/LP：支持MSH3相关息肉病，建议遗传咨询、亲属检测和个体化随访</w:t>
            </w:r>
          </w:p>
        </w:tc>
      </w:tr>
      <w:tr>
        <w:trPr>
          <w:trHeight w:hRule="auto"/>
        </w:trPr>
        <w:tc>
          <w:tcPr>
            <w:tcW w:type="dxa" w:w="8640"/>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单等位或VUS：谨慎解释，不作为重大临床决策唯一依据，必要时家系验证和动态再分析</w:t>
            </w:r>
          </w:p>
        </w:tc>
      </w:tr>
      <w:tr>
        <w:trPr>
          <w:trHeight w:hRule="auto"/>
        </w:trPr>
        <w:tc>
          <w:tcPr>
            <w:tcW w:type="dxa" w:w="8640"/>
            <w:vAlign w:val="center"/>
            <w:tcMar>
              <w:top w:w="90" w:type="dxa"/>
              <w:start w:w="160" w:type="dxa"/>
              <w:bottom w:w="90" w:type="dxa"/>
              <w:end w:w="160" w:type="dxa"/>
            </w:tcMar>
            <w:tcBorders>
              <w:top w:val="nil" w:sz="4" w:color="FFFFFF"/>
              <w:left w:val="nil" w:sz="4" w:color="FFFFFF"/>
              <w:bottom w:val="nil" w:sz="4" w:color="FFFFFF"/>
              <w:right w:val="nil" w:sz="4" w:color="FFFFFF"/>
            </w:tcBorders>
          </w:tcPr>
          <w:p>
            <w:pPr>
              <w:spacing w:before="0" w:after="0"/>
              <w:jc w:val="center"/>
            </w:pPr>
            <w:r/>
            <w:r>
              <w:rPr>
                <w:rFonts w:ascii="Times New Roman" w:hAnsi="Times New Roman" w:cs="Times New Roman" w:eastAsia="宋体"/>
                <w:color w:val="1F4D78"/>
                <w:sz w:val="24"/>
              </w:rPr>
              <w:t>↓</w:t>
            </w:r>
          </w:p>
        </w:tc>
      </w:tr>
      <w:tr>
        <w:trPr>
          <w:trHeight w:hRule="auto"/>
        </w:trPr>
        <w:tc>
          <w:tcPr>
            <w:tcW w:type="dxa" w:w="8640"/>
            <w:vAlign w:val="center"/>
            <w:tcMar>
              <w:top w:w="90" w:type="dxa"/>
              <w:start w:w="160" w:type="dxa"/>
              <w:bottom w:w="90" w:type="dxa"/>
              <w:end w:w="160" w:type="dxa"/>
            </w:tcMar>
            <w:shd w:fill="F3F7FB"/>
            <w:tcBorders>
              <w:top w:val="single" w:sz="4" w:color="AFC2D8"/>
              <w:left w:val="single" w:sz="4" w:color="AFC2D8"/>
              <w:bottom w:val="single" w:sz="4" w:color="AFC2D8"/>
              <w:right w:val="single" w:sz="4" w:color="AFC2D8"/>
            </w:tcBorders>
          </w:tcPr>
          <w:p>
            <w:pPr>
              <w:spacing w:before="0" w:after="0"/>
              <w:jc w:val="center"/>
            </w:pPr>
            <w:r/>
            <w:r>
              <w:rPr>
                <w:rFonts w:ascii="Times New Roman" w:hAnsi="Times New Roman" w:cs="Times New Roman" w:eastAsia="宋体"/>
                <w:sz w:val="20"/>
              </w:rPr>
              <w:t>报告归档与伦理合规：保护隐私，限制二次使用，避免遗传歧视</w:t>
            </w:r>
          </w:p>
        </w:tc>
      </w:tr>
    </w:tbl>
    <w:p>
      <w:pPr>
        <w:spacing w:after="120"/>
      </w:pPr>
    </w:p>
    <w:p>
      <w:pPr>
        <w:pStyle w:val="Heading1"/>
        <w:keepNext/>
        <w:jc w:val="left"/>
      </w:pPr>
      <w:r>
        <w:rPr>
          <w:rFonts w:ascii="Times New Roman" w:hAnsi="Times New Roman" w:cs="Times New Roman" w:eastAsia="黑体"/>
          <w:sz w:val="32"/>
        </w:rPr>
        <w:t>6 伦理与法律问题</w:t>
      </w:r>
    </w:p>
    <w:p>
      <w:pPr>
        <w:pStyle w:val="Heading2"/>
        <w:keepNext/>
        <w:jc w:val="left"/>
      </w:pPr>
      <w:r>
        <w:rPr>
          <w:rFonts w:ascii="Times New Roman" w:hAnsi="Times New Roman" w:cs="Times New Roman" w:eastAsia="黑体"/>
          <w:sz w:val="28"/>
        </w:rPr>
        <w:t>6.1 知情同意</w:t>
      </w:r>
    </w:p>
    <w:p>
      <w:pPr>
        <w:spacing w:before="0" w:after="0" w:line="360" w:lineRule="auto"/>
        <w:ind w:firstLine="480"/>
        <w:jc w:val="both"/>
      </w:pPr>
      <w:r>
        <w:rPr>
          <w:rFonts w:ascii="Times New Roman" w:hAnsi="Times New Roman" w:cs="Times New Roman" w:eastAsia="宋体"/>
          <w:sz w:val="24"/>
        </w:rPr>
        <w:t>基因检测的知情同意应早于采样发生。对 MSH3 这类遗传性肿瘤易感基因，知情同意至少包括检测目的、检测范围、可能结果、VUS 的不确定性、偶然发现、亲属风险、数据保存、是否用于科研、是否可能再次联系患者等内容。若检测对象是未成年人，还应特别考虑检测是否具有当前医学获益，避免在没有明确临床需要时过早揭示成年期风险。</w:t>
      </w:r>
    </w:p>
    <w:p>
      <w:pPr>
        <w:spacing w:before="0" w:after="0" w:line="360" w:lineRule="auto"/>
        <w:ind w:firstLine="480"/>
        <w:jc w:val="both"/>
      </w:pPr>
      <w:r>
        <w:rPr>
          <w:rFonts w:ascii="Times New Roman" w:hAnsi="Times New Roman" w:cs="Times New Roman" w:eastAsia="宋体"/>
          <w:sz w:val="24"/>
        </w:rPr>
        <w:t>检测前沟通还应说明阴性结果的含义。阴性并不等于没有遗传风险，只表示在当前检测范围和技术能力下未发现可解释变异。对强表型患者，仍可能需要重新分析、扩展检测或持续临床随访。</w:t>
      </w:r>
    </w:p>
    <w:p>
      <w:pPr>
        <w:pStyle w:val="Heading2"/>
        <w:keepNext/>
        <w:jc w:val="left"/>
      </w:pPr>
      <w:r>
        <w:rPr>
          <w:rFonts w:ascii="Times New Roman" w:hAnsi="Times New Roman" w:cs="Times New Roman" w:eastAsia="黑体"/>
          <w:sz w:val="28"/>
        </w:rPr>
        <w:t>6.2 基因隐私保护</w:t>
      </w:r>
    </w:p>
    <w:p>
      <w:pPr>
        <w:spacing w:before="0" w:after="0" w:line="360" w:lineRule="auto"/>
        <w:ind w:firstLine="480"/>
        <w:jc w:val="both"/>
      </w:pPr>
      <w:r>
        <w:rPr>
          <w:rFonts w:ascii="Times New Roman" w:hAnsi="Times New Roman" w:cs="Times New Roman" w:eastAsia="宋体"/>
          <w:sz w:val="24"/>
        </w:rPr>
        <w:t>基因信息具有高度敏感性，因为它不仅涉及本人，还可能涉及血缘亲属。我国个人信息保护法将医疗健康、行踪轨迹、金融账户等列为敏感个人信息范畴，基因检测结果在医学场景中显然应按高敏感度资料处理[17]。实验室应遵守最小必要原则，只收集实现检测目的所需信息；报告传递应采取授权、加密或受控访问；不应将基因数据用于未获同意的商业营销、保险评估或非必要科研。</w:t>
      </w:r>
    </w:p>
    <w:p>
      <w:pPr>
        <w:spacing w:before="0" w:after="0" w:line="360" w:lineRule="auto"/>
        <w:ind w:firstLine="480"/>
        <w:jc w:val="both"/>
      </w:pPr>
      <w:r>
        <w:rPr>
          <w:rFonts w:ascii="Times New Roman" w:hAnsi="Times New Roman" w:cs="Times New Roman" w:eastAsia="宋体"/>
          <w:sz w:val="24"/>
        </w:rPr>
        <w:t>人类遗传资源管理条例和生物安全法进一步提醒，涉及人类遗传资源采集、保存、利用和对外提供时，需要符合法规和伦理审查要求[18-19]。对于教学课程论文而言，不直接处理真实患者基因数据，但在讨论临床实践时必须意识到这些合规边界。</w:t>
      </w:r>
    </w:p>
    <w:p>
      <w:pPr>
        <w:pStyle w:val="Heading2"/>
        <w:keepNext/>
        <w:jc w:val="left"/>
      </w:pPr>
      <w:r>
        <w:rPr>
          <w:rFonts w:ascii="Times New Roman" w:hAnsi="Times New Roman" w:cs="Times New Roman" w:eastAsia="黑体"/>
          <w:sz w:val="28"/>
        </w:rPr>
        <w:t>6.3 遗传歧视与家系告知</w:t>
      </w:r>
    </w:p>
    <w:p>
      <w:pPr>
        <w:spacing w:before="0" w:after="0" w:line="360" w:lineRule="auto"/>
        <w:ind w:firstLine="480"/>
        <w:jc w:val="both"/>
      </w:pPr>
      <w:r>
        <w:rPr>
          <w:rFonts w:ascii="Times New Roman" w:hAnsi="Times New Roman" w:cs="Times New Roman" w:eastAsia="宋体"/>
          <w:sz w:val="24"/>
        </w:rPr>
        <w:t>MSH3 检测可能揭示患者及亲属的未来疾病风险。若单位、保险机构或其他第三方不当使用遗传信息，可能造成就业、保险或社会关系中的遗传歧视。美国 GINA 明确禁止在健康保险和就业中基于遗传信息进行歧视[20]，可作为国外法规示例。我国虽然制度表达不同，但个人信息保护、劳动权益保护和医学伦理原则同样要求防止基因信息被滥用。</w:t>
      </w:r>
    </w:p>
    <w:p>
      <w:pPr>
        <w:spacing w:before="0" w:after="0" w:line="360" w:lineRule="auto"/>
        <w:ind w:firstLine="480"/>
        <w:jc w:val="both"/>
      </w:pPr>
      <w:r>
        <w:rPr>
          <w:rFonts w:ascii="Times New Roman" w:hAnsi="Times New Roman" w:cs="Times New Roman" w:eastAsia="宋体"/>
          <w:sz w:val="24"/>
        </w:rPr>
        <w:t>家系告知是另一难题。双等位 MSH3 致病变异可能提示同胞或其他亲属存在风险，但患者个人隐私也应受到保护。较合理的做法是：由专业人员向患者解释亲属检测意义，鼓励患者主动与亲属沟通；在必要时提供书面说明和遗传咨询转介；除非法律或伦理规则允许，不应由实验室绕过患者直接披露其基因信息。</w:t>
      </w:r>
    </w:p>
    <w:p>
      <w:pPr>
        <w:pStyle w:val="Heading2"/>
        <w:keepNext/>
        <w:jc w:val="left"/>
      </w:pPr>
      <w:r>
        <w:rPr>
          <w:rFonts w:ascii="Times New Roman" w:hAnsi="Times New Roman" w:cs="Times New Roman" w:eastAsia="黑体"/>
          <w:sz w:val="28"/>
        </w:rPr>
        <w:t>6.4 避免过度检测和过度解读</w:t>
      </w:r>
    </w:p>
    <w:p>
      <w:pPr>
        <w:spacing w:before="0" w:after="0" w:line="360" w:lineRule="auto"/>
        <w:ind w:firstLine="480"/>
        <w:jc w:val="both"/>
      </w:pPr>
      <w:r>
        <w:rPr>
          <w:rFonts w:ascii="Times New Roman" w:hAnsi="Times New Roman" w:cs="Times New Roman" w:eastAsia="宋体"/>
          <w:sz w:val="24"/>
        </w:rPr>
        <w:t>基因检测技术越强，越需要控制适应证。对没有息肉、没有早发肿瘤、没有家族史且缺乏其他线索的人群，盲目扩大 MSH3 检测可能带来大量 VUS、焦虑和医疗资源浪费。对临床意义不明确的结果，实验室和临床医生应使用谨慎语言，避免“携带变异”被误读为“必然患癌”。伦理上，减少无效检测和减少不必要伤害，与发现疾病风险同样重要。</w:t>
      </w:r>
    </w:p>
    <w:p>
      <w:pPr>
        <w:pStyle w:val="Heading1"/>
        <w:keepNext/>
        <w:jc w:val="left"/>
      </w:pPr>
      <w:r>
        <w:rPr>
          <w:rFonts w:ascii="Times New Roman" w:hAnsi="Times New Roman" w:cs="Times New Roman" w:eastAsia="黑体"/>
          <w:sz w:val="32"/>
        </w:rPr>
        <w:t>7 文献检索与论文写作反思</w:t>
      </w:r>
    </w:p>
    <w:p>
      <w:pPr>
        <w:spacing w:before="0" w:after="0" w:line="360" w:lineRule="auto"/>
        <w:ind w:firstLine="480"/>
        <w:jc w:val="both"/>
      </w:pPr>
      <w:r>
        <w:rPr>
          <w:rFonts w:ascii="Times New Roman" w:hAnsi="Times New Roman" w:cs="Times New Roman" w:eastAsia="宋体"/>
          <w:sz w:val="24"/>
        </w:rPr>
        <w:t>本次检索的最大体会是，罕见基因主题不能只依赖单一关键词。若只检索“MSH3 gene testing”，可能漏掉以 polyposis、colorectal cancer、EMAST、mismatch repair、whole-exome sequencing 为主题的关键文献；若只检索“colorectal cancer”，又会得到大量与 MSH3 关系很弱的结果。因此，本论文采用宽检索、近 5 年限定、病例家系检索、机制检索和检测解释检索相结合的方式。</w:t>
      </w:r>
    </w:p>
    <w:p>
      <w:pPr>
        <w:spacing w:before="0" w:after="0" w:line="360" w:lineRule="auto"/>
        <w:ind w:firstLine="480"/>
        <w:jc w:val="both"/>
      </w:pPr>
      <w:r>
        <w:rPr>
          <w:rFonts w:ascii="Times New Roman" w:hAnsi="Times New Roman" w:cs="Times New Roman" w:eastAsia="宋体"/>
          <w:sz w:val="24"/>
        </w:rPr>
        <w:t>第二个体会是，文献证据需要分层。Adam 2016 属于经典发现性文献，虽然不在近 5 年内，但对 MSH3 相关息肉病概念形成不可替代；Villy 2023、Aelvoet 2023、Koi 2024、Joo 2025 和 Dardenne 2025 则体现近年前沿证据；ACMG/AMP 标准虽为 2015 年文献，但仍是变异解释的基础规范。课程论文写作不能机械排斥较早经典文献，而应区分“基础发现”和“最新进展”。</w:t>
      </w:r>
    </w:p>
    <w:p>
      <w:pPr>
        <w:spacing w:before="0" w:after="0" w:line="360" w:lineRule="auto"/>
        <w:ind w:firstLine="480"/>
        <w:jc w:val="both"/>
      </w:pPr>
      <w:r>
        <w:rPr>
          <w:rFonts w:ascii="Times New Roman" w:hAnsi="Times New Roman" w:cs="Times New Roman" w:eastAsia="宋体"/>
          <w:sz w:val="24"/>
        </w:rPr>
        <w:t>第三个体会是，医学检验论文应突出检测流程和报告解释，而不是只写疾病背景。MSH3 主题如果只写结直肠癌风险，会变成普通肿瘤遗传综述；加入样本质量、NGS panel、CNV、MSI/EMAST、IHC、ACMG/AMP、ClinVar 和遗传咨询后，才能体现医学检验技术专业特色。</w:t>
      </w:r>
    </w:p>
    <w:p>
      <w:pPr>
        <w:pStyle w:val="Heading1"/>
        <w:keepNext/>
        <w:jc w:val="center"/>
      </w:pPr>
      <w:r>
        <w:rPr>
          <w:rFonts w:ascii="Times New Roman" w:hAnsi="Times New Roman" w:cs="Times New Roman" w:eastAsia="黑体"/>
          <w:sz w:val="32"/>
        </w:rPr>
        <w:t>结论</w:t>
      </w:r>
    </w:p>
    <w:p>
      <w:pPr>
        <w:spacing w:before="0" w:after="0" w:line="360" w:lineRule="auto"/>
        <w:ind w:firstLine="480"/>
        <w:jc w:val="both"/>
      </w:pPr>
      <w:r>
        <w:rPr>
          <w:rFonts w:ascii="Times New Roman" w:hAnsi="Times New Roman" w:cs="Times New Roman" w:eastAsia="宋体"/>
          <w:sz w:val="24"/>
        </w:rPr>
        <w:t>MSH3 是 DNA 错配修复系统中的重要基因，可与 MSH2 形成 MutSβ 复合物，参与插入/缺失环和微卫星相关复制错误修复。现有文献支持双等位 MSH3 胚系致病变异与一种常染色体隐性腺瘤性息肉病亚型相关，患者可表现为多发结直肠腺瘤、直肠癌或结肠癌，肿瘤组织中可能出现 EMAST、低水平 MSI 或其他错配修复异常线索。MSH3 检测的临床价值主要体现在未解释的多发腺瘤、早发结直肠癌、家族史阳性和肿瘤 MMR 异常场景中。</w:t>
      </w:r>
    </w:p>
    <w:p>
      <w:pPr>
        <w:spacing w:before="0" w:after="0" w:line="360" w:lineRule="auto"/>
        <w:ind w:firstLine="480"/>
        <w:jc w:val="both"/>
      </w:pPr>
      <w:r>
        <w:rPr>
          <w:rFonts w:ascii="Times New Roman" w:hAnsi="Times New Roman" w:cs="Times New Roman" w:eastAsia="宋体"/>
          <w:sz w:val="24"/>
        </w:rPr>
        <w:t>在技术选择上，NGS 多基因 panel 是目前较适合临床初筛的方案，PCR/Sanger 适合已知变异验证，WES/WGS 适合 panel 阴性但表型强烈提示遗传病的病例，CNV 分析、MSI/EMAST、IHC 和肿瘤体细胞测序可补充解释。结果解读必须遵循 ACMG/AMP 框架，充分利用 ClinVar 和文献证据，但不能把 VUS 或单项肿瘤检测结果过度解释为明确诊断。伦理法律方面，MSH3 检测涉及知情同意、隐私保护、遗传歧视、家系沟通和人类遗传资源合规，应在专业遗传咨询和严格数据管理下开展。总体而言，MSH3 基因检测体现了现代医学检验从“检测技术”走向“证据解释和临床决策支持”的发展方向。</w:t>
      </w:r>
    </w:p>
    <w:p>
      <w:pPr>
        <w:pStyle w:val="Heading1"/>
        <w:keepNext/>
        <w:jc w:val="center"/>
      </w:pPr>
      <w:r>
        <w:rPr>
          <w:rFonts w:ascii="Times New Roman" w:hAnsi="Times New Roman" w:cs="Times New Roman" w:eastAsia="黑体"/>
          <w:sz w:val="32"/>
        </w:rPr>
        <w:t>参考文献</w:t>
      </w:r>
    </w:p>
    <w:p>
      <w:pPr>
        <w:pStyle w:val="ReferenceItem"/>
        <w:jc w:val="left"/>
      </w:pPr>
      <w:r>
        <w:rPr>
          <w:rFonts w:ascii="Times New Roman" w:hAnsi="Times New Roman" w:cs="Times New Roman" w:eastAsia="宋体"/>
          <w:sz w:val="21"/>
        </w:rPr>
        <w:t>[1] National Center for Biotechnology Information. MSH3 mutS homolog 3 [EB/OL]. https://www.ncbi.nlm.nih.gov/gene/4437.</w:t>
      </w:r>
    </w:p>
    <w:p>
      <w:pPr>
        <w:pStyle w:val="ReferenceItem"/>
        <w:jc w:val="left"/>
      </w:pPr>
      <w:r>
        <w:rPr>
          <w:rFonts w:ascii="Times New Roman" w:hAnsi="Times New Roman" w:cs="Times New Roman" w:eastAsia="宋体"/>
          <w:sz w:val="21"/>
        </w:rPr>
        <w:t>[2] Adam R, Spier I, Zhao B, Kloth M, Marquez J, Hinrichsen I, et al. Exome Sequencing Identifies Biallelic MSH3 Germline Mutations as a Recessive Subtype of Colorectal Adenomatous Polyposis[J]. American Journal of Human Genetics, 2016, 99(2): 337-351. DOI: 10.1016/j.ajhg.2016.06.015.</w:t>
      </w:r>
    </w:p>
    <w:p>
      <w:pPr>
        <w:pStyle w:val="ReferenceItem"/>
        <w:jc w:val="left"/>
      </w:pPr>
      <w:r>
        <w:rPr>
          <w:rFonts w:ascii="Times New Roman" w:hAnsi="Times New Roman" w:cs="Times New Roman" w:eastAsia="宋体"/>
          <w:sz w:val="21"/>
        </w:rPr>
        <w:t>[3] Villy M C, Masliah-Planchon J, Schnitzler A, Delhomelle H, Buecher B, Filser M, et al. MSH3: a confirmed predisposing gene for adenomatous polyposis[J]. Journal of Medical Genetics, 2023, 60(12): 1198-1205. DOI: 10.1136/jmg-2023-109341.</w:t>
      </w:r>
    </w:p>
    <w:p>
      <w:pPr>
        <w:pStyle w:val="ReferenceItem"/>
        <w:jc w:val="left"/>
      </w:pPr>
      <w:r>
        <w:rPr>
          <w:rFonts w:ascii="Times New Roman" w:hAnsi="Times New Roman" w:cs="Times New Roman" w:eastAsia="宋体"/>
          <w:sz w:val="21"/>
        </w:rPr>
        <w:t>[4] Aelvoet A S, Hoekman D R, Redeker B J W, Weegenaar J, Dekker E, van Noesel C J M, et al. A large family with MSH3-related polyposis[J]. Familial Cancer, 2023, 22(1): 49-54. DOI: 10.1007/s10689-022-00297-x.</w:t>
      </w:r>
    </w:p>
    <w:p>
      <w:pPr>
        <w:pStyle w:val="ReferenceItem"/>
        <w:jc w:val="left"/>
      </w:pPr>
      <w:r>
        <w:rPr>
          <w:rFonts w:ascii="Times New Roman" w:hAnsi="Times New Roman" w:cs="Times New Roman" w:eastAsia="宋体"/>
          <w:sz w:val="21"/>
        </w:rPr>
        <w:t>[5] Koi M, Leach B H, McGee S, Tseng-Rogenski S S, Burke C A, Carethers J M. Compound heterozygous MSH3 germline variants and associated tumor somatic DNA mismatch repair dysfunction[J]. NPJ Precision Oncology, 2024, 8(1): 12. DOI: 10.1038/s41698-024-00511-2.</w:t>
      </w:r>
    </w:p>
    <w:p>
      <w:pPr>
        <w:pStyle w:val="ReferenceItem"/>
        <w:jc w:val="left"/>
      </w:pPr>
      <w:r>
        <w:rPr>
          <w:rFonts w:ascii="Times New Roman" w:hAnsi="Times New Roman" w:cs="Times New Roman" w:eastAsia="宋体"/>
          <w:sz w:val="21"/>
        </w:rPr>
        <w:t>[6] Joo J E, Viana-Errasti J, Buchanan D D, Valle L. Genetics, genomics and clinical features of adenomatous polyposis[J]. Familial Cancer, 2025, 24(2): 38. DOI: 10.1007/s10689-025-00460-0.</w:t>
      </w:r>
    </w:p>
    <w:p>
      <w:pPr>
        <w:pStyle w:val="ReferenceItem"/>
        <w:jc w:val="left"/>
      </w:pPr>
      <w:r>
        <w:rPr>
          <w:rFonts w:ascii="Times New Roman" w:hAnsi="Times New Roman" w:cs="Times New Roman" w:eastAsia="宋体"/>
          <w:sz w:val="21"/>
        </w:rPr>
        <w:t>[7] Rebuzzi F, Ulivi P, Tedaldi G. Genetic Predisposition to Colorectal Cancer: How Many and Which Genes to Test?[J]. International Journal of Molecular Sciences, 2023, 24(3): 2137. DOI: 10.3390/ijms24032137.</w:t>
      </w:r>
    </w:p>
    <w:p>
      <w:pPr>
        <w:pStyle w:val="ReferenceItem"/>
        <w:jc w:val="left"/>
      </w:pPr>
      <w:r>
        <w:rPr>
          <w:rFonts w:ascii="Times New Roman" w:hAnsi="Times New Roman" w:cs="Times New Roman" w:eastAsia="宋体"/>
          <w:sz w:val="21"/>
        </w:rPr>
        <w:t>[8] Terradas M, Munoz-Torres P M, Belhadj S, Aiza G, Navarro M, Brunet J, et al. Contribution to colonic polyposis of recently proposed predisposing genes and assessment of the prevalence of NTHL1- and MSH3-associated polyposes[J]. Human Mutation, 2019, 40(11): 1910-1923. DOI: 10.1002/humu.23853.</w:t>
      </w:r>
    </w:p>
    <w:p>
      <w:pPr>
        <w:pStyle w:val="ReferenceItem"/>
        <w:jc w:val="left"/>
      </w:pPr>
      <w:r>
        <w:rPr>
          <w:rFonts w:ascii="Times New Roman" w:hAnsi="Times New Roman" w:cs="Times New Roman" w:eastAsia="宋体"/>
          <w:sz w:val="21"/>
        </w:rPr>
        <w:t>[9] Dardenne A, Dhooge M, Basset N, Chansavang A, Metras J, Farelly S, et al. Pathogenic germline variants in patients with early-onset colorectal cancer according to phenotype[J]. European Journal of Human Genetics, 2025, 33(6): 810-813. DOI: 10.1038/s41431-025-01808-x.</w:t>
      </w:r>
    </w:p>
    <w:p>
      <w:pPr>
        <w:pStyle w:val="ReferenceItem"/>
        <w:jc w:val="left"/>
      </w:pPr>
      <w:r>
        <w:rPr>
          <w:rFonts w:ascii="Times New Roman" w:hAnsi="Times New Roman" w:cs="Times New Roman" w:eastAsia="宋体"/>
          <w:sz w:val="21"/>
        </w:rPr>
        <w:t>[10] Dos Santos W, Pereira A S, Laureano T, de Andrade E S, Reis M T, Garcia F A, et al. Whole-exome sequencing identifies new pathogenic germline variants in patients with colorectal polyposis[J]. World Journal of Gastroenterology, 2025, 31(29): 104830. DOI: 10.3748/wjg.v31.i29.104830.</w:t>
      </w:r>
    </w:p>
    <w:p>
      <w:pPr>
        <w:pStyle w:val="ReferenceItem"/>
        <w:jc w:val="left"/>
      </w:pPr>
      <w:r>
        <w:rPr>
          <w:rFonts w:ascii="Times New Roman" w:hAnsi="Times New Roman" w:cs="Times New Roman" w:eastAsia="宋体"/>
          <w:sz w:val="21"/>
        </w:rPr>
        <w:t>[11] Kayhanian H, Cross W, van der Horst S E M, Barmpoutis P, Lakatos E, Caravagna G, et al. Homopolymer switches mediate adaptive mutability in mismatch repair-deficient colorectal cancer[J]. Nature Genetics, 2024, 56(7): 1420-1433. DOI: 10.1038/s41588-024-01777-9.</w:t>
      </w:r>
    </w:p>
    <w:p>
      <w:pPr>
        <w:pStyle w:val="ReferenceItem"/>
        <w:jc w:val="left"/>
      </w:pPr>
      <w:r>
        <w:rPr>
          <w:rFonts w:ascii="Times New Roman" w:hAnsi="Times New Roman" w:cs="Times New Roman" w:eastAsia="宋体"/>
          <w:sz w:val="21"/>
        </w:rPr>
        <w:t>[12] Xu Y, Liu K, Li C, Li M, Zhou X, Sun M, et al. Microsatellite instability in mismatch repair proficient colorectal cancer: clinical features and underlying molecular mechanisms[J]. EBioMedicine, 2024, 103: 105142. DOI: 10.1016/j.ebiom.2024.105142.</w:t>
      </w:r>
    </w:p>
    <w:p>
      <w:pPr>
        <w:pStyle w:val="ReferenceItem"/>
        <w:jc w:val="left"/>
      </w:pPr>
      <w:r>
        <w:rPr>
          <w:rFonts w:ascii="Times New Roman" w:hAnsi="Times New Roman" w:cs="Times New Roman" w:eastAsia="宋体"/>
          <w:sz w:val="21"/>
        </w:rPr>
        <w:t>[13] De' Angelis G L, Bottarelli L, Azzoni C, De' Angelis N, Leandro G, Di Mario F, et al. Microsatellite instability in colorectal cancer[J]. Acta Bio-Medica, 2018, 89(9-S): 97-101. DOI: 10.23750/abm.v89i9-S.7960.</w:t>
      </w:r>
    </w:p>
    <w:p>
      <w:pPr>
        <w:pStyle w:val="ReferenceItem"/>
        <w:jc w:val="left"/>
      </w:pPr>
      <w:r>
        <w:rPr>
          <w:rFonts w:ascii="Times New Roman" w:hAnsi="Times New Roman" w:cs="Times New Roman" w:eastAsia="宋体"/>
          <w:sz w:val="21"/>
        </w:rPr>
        <w:t>[14] Guervilly J H, Blin M, Laureti L, Baudelet E, Audebert S, Gaillard P H L. SLX4 dampens MutSα-dependent mismatch repair[J]. Nucleic Acids Research, 2022, 50(5): 2667-2680. DOI: 10.1093/nar/gkac075.</w:t>
      </w:r>
    </w:p>
    <w:p>
      <w:pPr>
        <w:pStyle w:val="ReferenceItem"/>
        <w:jc w:val="left"/>
      </w:pPr>
      <w:r>
        <w:rPr>
          <w:rFonts w:ascii="Times New Roman" w:hAnsi="Times New Roman" w:cs="Times New Roman" w:eastAsia="宋体"/>
          <w:sz w:val="21"/>
        </w:rPr>
        <w:t>[15] Richards S, Aziz N, Bale S, Bick D, Das S, Gastier-Foster J, et al. Standards and guidelines for the interpretation of sequence variants: a joint consensus recommendation of the American College of Medical Genetics and Genomics and the Association for Molecular Pathology[J]. Genetics in Medicine, 2015, 17(5): 405-424. DOI: 10.1038/gim.2015.30.</w:t>
      </w:r>
    </w:p>
    <w:p>
      <w:pPr>
        <w:pStyle w:val="ReferenceItem"/>
        <w:jc w:val="left"/>
      </w:pPr>
      <w:r>
        <w:rPr>
          <w:rFonts w:ascii="Times New Roman" w:hAnsi="Times New Roman" w:cs="Times New Roman" w:eastAsia="宋体"/>
          <w:sz w:val="21"/>
        </w:rPr>
        <w:t>[16] National Center for Biotechnology Information. ClinVar: MSH3 gene variants [EB/OL]. https://www.ncbi.nlm.nih.gov/clinvar/?term=MSH3%5Bgene%5D.</w:t>
      </w:r>
    </w:p>
    <w:p>
      <w:pPr>
        <w:pStyle w:val="ReferenceItem"/>
        <w:jc w:val="left"/>
      </w:pPr>
      <w:r>
        <w:rPr>
          <w:rFonts w:ascii="Times New Roman" w:hAnsi="Times New Roman" w:cs="Times New Roman" w:eastAsia="宋体"/>
          <w:sz w:val="21"/>
        </w:rPr>
        <w:t>[17] 全国人民代表大会常务委员会. 中华人民共和国个人信息保护法[EB/OL]. https://www.gov.cn/xinwen/2021-08/20/content_5632486.htm.</w:t>
      </w:r>
    </w:p>
    <w:p>
      <w:pPr>
        <w:pStyle w:val="ReferenceItem"/>
        <w:jc w:val="left"/>
      </w:pPr>
      <w:r>
        <w:rPr>
          <w:rFonts w:ascii="Times New Roman" w:hAnsi="Times New Roman" w:cs="Times New Roman" w:eastAsia="宋体"/>
          <w:sz w:val="21"/>
        </w:rPr>
        <w:t>[18] 国务院. 中华人民共和国人类遗传资源管理条例[EB/OL]. https://www.gov.cn/zhengce/content/2019-06/10/content_5398829.htm.</w:t>
      </w:r>
    </w:p>
    <w:p>
      <w:pPr>
        <w:pStyle w:val="ReferenceItem"/>
        <w:jc w:val="left"/>
      </w:pPr>
      <w:r>
        <w:rPr>
          <w:rFonts w:ascii="Times New Roman" w:hAnsi="Times New Roman" w:cs="Times New Roman" w:eastAsia="宋体"/>
          <w:sz w:val="21"/>
        </w:rPr>
        <w:t>[19] 全国人民代表大会常务委员会. 中华人民共和国生物安全法[EB/OL]. https://www.gov.cn/xinwen/2020-10/18/content_5552113.htm.</w:t>
      </w:r>
    </w:p>
    <w:p>
      <w:pPr>
        <w:pStyle w:val="ReferenceItem"/>
        <w:jc w:val="left"/>
      </w:pPr>
      <w:r>
        <w:rPr>
          <w:rFonts w:ascii="Times New Roman" w:hAnsi="Times New Roman" w:cs="Times New Roman" w:eastAsia="宋体"/>
          <w:sz w:val="21"/>
        </w:rPr>
        <w:t>[20] U.S. Equal Employment Opportunity Commission. The Genetic Information Nondiscrimination Act of 2008 [EB/OL]. https://www.eeoc.gov/statutes/genetic-information-nondiscrimination-act-2008.</w:t>
      </w:r>
    </w:p>
    <w:p>
      <w:pPr>
        <w:pStyle w:val="Heading1"/>
        <w:keepNext/>
        <w:jc w:val="center"/>
      </w:pPr>
      <w:r>
        <w:rPr>
          <w:rFonts w:ascii="Times New Roman" w:hAnsi="Times New Roman" w:cs="Times New Roman" w:eastAsia="黑体"/>
          <w:sz w:val="32"/>
        </w:rPr>
        <w:t>查重报告附页</w:t>
      </w:r>
    </w:p>
    <w:p>
      <w:pPr>
        <w:spacing w:before="0" w:after="0" w:line="360" w:lineRule="auto"/>
        <w:ind w:firstLine="480"/>
        <w:jc w:val="both"/>
      </w:pPr>
      <w:r>
        <w:rPr>
          <w:rFonts w:ascii="Times New Roman" w:hAnsi="Times New Roman" w:cs="Times New Roman" w:eastAsia="宋体"/>
          <w:sz w:val="24"/>
        </w:rPr>
        <w:t>说明：任务书要求课程论文后附查重报告。当前文本为写作初稿和格式化稿，尚未接入学校指定查重系统。正式提交前，应使用学校认可的查重平台生成报告，并将报告首页或完整报告按任课教师要求附在本文之后。</w:t>
      </w:r>
    </w:p>
    <w:sectPr>
      <w:headerReference w:type="default" r:id="rId23"/>
      <w:footerReference w:type="default" r:id="rId24"/>
      <w:pgSz w:w="11906" w:h="16838"/>
      <w:pgMar w:left="1531" w:right="1247" w:gutter="567" w:header="850" w:top="1417" w:footer="992" w:bottom="1417"/>
      <w:pgNumType w:fmt="decimal" w:start="1"/>
      <w:formProt w:val="false"/>
      <w:textDirection w:val="lrTb"/>
      <w:docGrid w:type="linesAndChar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谢莹" w:date="2018-11-04T20:00:00Z" w:initials="A">
    <w:p>
      <w:pPr>
        <w:overflowPunct w:val="false"/>
        <w:bidi w:val="0"/>
        <w:jc w:val="start"/>
        <w:rPr/>
      </w:pPr>
      <w:r>
        <w:annotationRef/>
      </w:r>
      <w:r>
        <w:rPr>
          <w:rFonts w:ascii="Times New Roman" w:hAnsi="Times New Roman" w:eastAsia="宋体;SimSun" w:cs="Times New Roman" w:hint="eastAsia"/>
          <w:color w:val="auto"/>
          <w:kern w:val="2"/>
          <w:sz w:val="21"/>
          <w:szCs w:val="24"/>
          <w:lang w:val="en-US" w:eastAsia="en-US" w:bidi="ar-SA"/>
        </w:rPr>
        <w:t>英文摘要与中文摘要对应，语句通顺，专业词汇使用准确</w:t>
      </w:r>
    </w:p>
  </w:comment>
  <w:comment w:id="1" w:author="谢莹" w:date="2018-11-04T20:01:00Z" w:initials="A">
    <w:p>
      <w:pPr>
        <w:overflowPunct w:val="false"/>
        <w:bidi w:val="0"/>
        <w:jc w:val="start"/>
        <w:rPr/>
      </w:pPr>
      <w:r>
        <w:annotationRef/>
      </w:r>
      <w:r>
        <w:rPr>
          <w:rFonts w:ascii="Times New Roman" w:hAnsi="Times New Roman" w:eastAsia="宋体;SimSun" w:cs="Times New Roman" w:hint="eastAsia"/>
          <w:color w:val="auto"/>
          <w:kern w:val="2"/>
          <w:sz w:val="21"/>
          <w:szCs w:val="24"/>
          <w:lang w:val="en-US" w:eastAsia="en-US" w:bidi="ar-SA"/>
        </w:rPr>
        <w:t>在引用处合理标注参考文献</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6"/>
    <w:family w:val="roman"/>
    <w:pitch w:val="variable"/>
  </w:font>
  <w:font w:name="宋体">
    <w:altName w:val="SimSun"/>
    <w:charset w:val="86"/>
    <w:family w:val="auto"/>
    <w:pitch w:val="variable"/>
  </w:font>
  <w:font w:name="仿宋_GB2312">
    <w:altName w:val="仿宋"/>
    <w:charset w:val="86"/>
    <w:family w:val="modern"/>
    <w:pitch w:val="default"/>
  </w:font>
  <w:font w:name="Arial Unicode MS">
    <w:charset w:val="00" w:characterSet="windows-1252"/>
    <w:family w:val="swiss"/>
    <w:pitch w:val="variable"/>
  </w:font>
  <w:font w:name="Cambria">
    <w:charset w:val="00" w:characterSet="windows-1252"/>
    <w:family w:val="roman"/>
    <w:pitch w:val="variable"/>
  </w:font>
  <w:font w:name="黑体">
    <w:altName w:val="SimHei"/>
    <w:charset w:val="86"/>
    <w:family w:val="modern"/>
    <w:pitch w:val="default"/>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eastAsia="楷体_GB2312;楷体" w:hint="eastAsia"/>
      </w:rPr>
    </w:pPr>
    <w:r>
      <w:rPr>
        <w:rFonts w:eastAsia="楷体_GB2312;楷体" w:hint="eastAsia"/>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w:t>
    </w:r>
    <w:r>
      <w:rPr/>
      <w:fldChar w:fldCharType="end"/>
    </w:r>
  </w:p>
  <w:p>
    <w:pPr>
      <w:pStyle w:val="Footer"/>
      <w:ind w:end="360"/>
      <w:rPr>
        <w:rFonts w:eastAsia="楷体_GB2312;楷体" w:hint="eastAsia"/>
      </w:rPr>
    </w:pPr>
    <w:r>
      <w:rPr>
        <w:rFonts w:eastAsia="楷体_GB2312;楷体"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ind w:end="360"/>
      <w:rPr>
        <w:rFonts w:eastAsia="楷体_GB2312;楷体" w:hint="eastAsia"/>
      </w:rPr>
    </w:pPr>
    <w:r>
      <w:rPr>
        <w:rFonts w:eastAsia="楷体_GB2312;楷体" w:hint="eastAsia"/>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p>
  <w:p>
    <w:pPr>
      <w:pStyle w:val="Footer"/>
      <w:ind w:end="360"/>
      <w:rPr>
        <w:rFonts w:eastAsia="楷体_GB2312;楷体" w:hint="eastAsia"/>
      </w:rPr>
    </w:pPr>
    <w:r>
      <w:rPr>
        <w:rFonts w:eastAsia="楷体_GB2312;楷体" w:hint="eastAsia"/>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s="Times New Roman" w:eastAsia="宋体"/>
        <w:color w:val="585858"/>
        <w:sz w:val="21"/>
      </w:rPr>
      <w:t xml:space="preserve">- </w:t>
    </w:r>
    <w:r>
      <w:rPr>
        <w:rFonts w:ascii="Times New Roman" w:hAnsi="Times New Roman" w:cs="Times New Roman" w:eastAsia="宋体"/>
        <w:sz w:val="21"/>
      </w:rPr>
      <w:fldChar w:fldCharType="begin"/>
      <w:instrText xml:space="preserve">PAGE</w:instrText>
      <w:fldChar w:fldCharType="separate"/>
      <w:t>1</w:t>
      <w:fldChar w:fldCharType="end"/>
    </w:r>
    <w:r>
      <w:rPr>
        <w:rFonts w:ascii="Times New Roman" w:hAnsi="Times New Roman" w:cs="Times New Roman" w:eastAsia="宋体"/>
        <w:color w:val="585858"/>
        <w:sz w:val="21"/>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沈阳城市学院毕业论文（文献检索与论文写作）</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Fonts w:hint="eastAsia"/>
      </w:rPr>
      <w:t>沈阳城市学院毕业论文（文献检索与论文写作）</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Times New Roman" w:hAnsi="Times New Roman" w:cs="Times New Roman" w:eastAsia="宋体"/>
        <w:color w:val="585858"/>
        <w:sz w:val="19"/>
      </w:rPr>
      <w:t>《基因检测与解读》课程论文</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CN" w:cs="Lucida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360" w:lineRule="auto" w:before="0" w:after="0"/>
      <w:jc w:val="both"/>
    </w:pPr>
    <w:rPr>
      <w:rFonts w:ascii="Times New Roman" w:hAnsi="Times New Roman" w:eastAsia="宋体" w:cs="Times New Roman"/>
      <w:b w:val="0"/>
      <w:color w:val="auto"/>
      <w:kern w:val="2"/>
      <w:sz w:val="24"/>
      <w:szCs w:val="24"/>
      <w:lang w:bidi="ar-SA" w:val="en-US" w:eastAsia="zh-CN"/>
    </w:rPr>
  </w:style>
  <w:style w:type="paragraph" w:styleId="Heading1">
    <w:name w:val="heading 1"/>
    <w:basedOn w:val="Normal"/>
    <w:next w:val="Normal"/>
    <w:qFormat/>
    <w:pPr>
      <w:keepNext w:val="true"/>
      <w:keepLines/>
      <w:numPr>
        <w:ilvl w:val="0"/>
        <w:numId w:val="1"/>
      </w:numPr>
      <w:snapToGrid w:val="false"/>
      <w:spacing w:lineRule="auto" w:line="300" w:before="240" w:after="160"/>
      <w:outlineLvl w:val="0"/>
    </w:pPr>
    <w:rPr>
      <w:rFonts w:eastAsia="黑体" w:ascii="Times New Roman" w:hAnsi="Times New Roman" w:cs="Times New Roman"/>
      <w:b w:val="0"/>
      <w:bCs/>
      <w:color w:val="000000"/>
      <w:kern w:val="2"/>
      <w:sz w:val="32"/>
      <w:szCs w:val="44"/>
    </w:rPr>
  </w:style>
  <w:style w:type="paragraph" w:styleId="Heading2">
    <w:name w:val="heading 2"/>
    <w:basedOn w:val="Normal"/>
    <w:next w:val="Normal"/>
    <w:qFormat/>
    <w:pPr>
      <w:keepNext w:val="true"/>
      <w:keepLines/>
      <w:numPr>
        <w:ilvl w:val="1"/>
        <w:numId w:val="1"/>
      </w:numPr>
      <w:snapToGrid w:val="false"/>
      <w:spacing w:lineRule="auto" w:line="300" w:before="160" w:after="80"/>
      <w:jc w:val="start"/>
      <w:outlineLvl w:val="1"/>
    </w:pPr>
    <w:rPr>
      <w:rFonts w:ascii="Times New Roman" w:hAnsi="Times New Roman" w:eastAsia="黑体" w:cs="Times New Roman"/>
      <w:b w:val="0"/>
      <w:bCs/>
      <w:color w:val="000000"/>
      <w:sz w:val="28"/>
      <w:szCs w:val="32"/>
    </w:rPr>
  </w:style>
  <w:style w:type="paragraph" w:styleId="Heading3">
    <w:name w:val="heading 3"/>
    <w:basedOn w:val="Normal"/>
    <w:next w:val="Normal"/>
    <w:qFormat/>
    <w:pPr>
      <w:keepNext w:val="true"/>
      <w:keepLines/>
      <w:numPr>
        <w:ilvl w:val="2"/>
        <w:numId w:val="1"/>
      </w:numPr>
      <w:snapToGrid w:val="false"/>
      <w:spacing w:lineRule="auto" w:line="300" w:before="120" w:after="60"/>
      <w:outlineLvl w:val="2"/>
    </w:pPr>
    <w:rPr>
      <w:rFonts w:eastAsia="黑体" w:ascii="Times New Roman" w:hAnsi="Times New Roman" w:cs="Times New Roman"/>
      <w:b w:val="0"/>
      <w:bCs/>
      <w:color w:val="000000"/>
      <w:sz w:val="26"/>
      <w:szCs w:val="32"/>
    </w:rPr>
  </w:style>
  <w:style w:type="paragraph" w:styleId="Heading4">
    <w:name w:val="heading 4"/>
    <w:basedOn w:val="Normal"/>
    <w:next w:val="Normal"/>
    <w:qFormat/>
    <w:pPr>
      <w:keepNext w:val="true"/>
      <w:numPr>
        <w:ilvl w:val="3"/>
        <w:numId w:val="1"/>
      </w:numPr>
      <w:spacing w:lineRule="auto" w:line="360"/>
      <w:outlineLvl w:val="3"/>
    </w:pPr>
    <w:rPr>
      <w:b/>
      <w:bCs/>
      <w:sz w:val="24"/>
    </w:rPr>
  </w:style>
  <w:style w:type="paragraph" w:styleId="Heading5">
    <w:name w:val="heading 5"/>
    <w:basedOn w:val="Normal"/>
    <w:next w:val="Normal"/>
    <w:qFormat/>
    <w:pPr>
      <w:keepNext w:val="true"/>
      <w:numPr>
        <w:ilvl w:val="4"/>
        <w:numId w:val="1"/>
      </w:numPr>
      <w:spacing w:lineRule="auto" w:line="360"/>
      <w:jc w:val="center"/>
      <w:outlineLvl w:val="4"/>
    </w:pPr>
    <w:rPr>
      <w:b/>
      <w:bCs/>
      <w:sz w:val="30"/>
    </w:rPr>
  </w:style>
  <w:style w:type="character" w:styleId="Style9">
    <w:name w:val="默认段落字体"/>
    <w:qFormat/>
    <w:rPr/>
  </w:style>
  <w:style w:type="character" w:styleId="Style10">
    <w:name w:val="批注文字 字符"/>
    <w:qFormat/>
    <w:rPr>
      <w:kern w:val="2"/>
      <w:sz w:val="21"/>
      <w:szCs w:val="24"/>
    </w:rPr>
  </w:style>
  <w:style w:type="character" w:styleId="Style11">
    <w:name w:val="纯文本 字符"/>
    <w:qFormat/>
    <w:rPr>
      <w:rFonts w:ascii="宋体;SimSun" w:hAnsi="宋体;SimSun" w:cs="Courier New"/>
      <w:kern w:val="2"/>
      <w:sz w:val="21"/>
    </w:rPr>
  </w:style>
  <w:style w:type="character" w:styleId="Style12">
    <w:name w:val="批注框文本 字符"/>
    <w:qFormat/>
    <w:rPr>
      <w:kern w:val="2"/>
      <w:sz w:val="18"/>
      <w:szCs w:val="18"/>
    </w:rPr>
  </w:style>
  <w:style w:type="character" w:styleId="Style13">
    <w:name w:val="页脚 字符"/>
    <w:qFormat/>
    <w:rPr>
      <w:kern w:val="2"/>
      <w:sz w:val="18"/>
      <w:szCs w:val="18"/>
    </w:rPr>
  </w:style>
  <w:style w:type="character" w:styleId="Style14">
    <w:name w:val="页眉 字符"/>
    <w:qFormat/>
    <w:rPr>
      <w:kern w:val="2"/>
      <w:sz w:val="18"/>
      <w:szCs w:val="18"/>
    </w:rPr>
  </w:style>
  <w:style w:type="character" w:styleId="2">
    <w:name w:val="正文文本 2 字符"/>
    <w:qFormat/>
    <w:rPr>
      <w:kern w:val="2"/>
      <w:sz w:val="21"/>
      <w:szCs w:val="24"/>
    </w:rPr>
  </w:style>
  <w:style w:type="character" w:styleId="Style15">
    <w:name w:val="标题 字符"/>
    <w:qFormat/>
    <w:rPr>
      <w:rFonts w:eastAsia="黑体;SimHei"/>
      <w:b/>
      <w:bCs/>
      <w:kern w:val="2"/>
      <w:sz w:val="32"/>
      <w:szCs w:val="24"/>
    </w:rPr>
  </w:style>
  <w:style w:type="character" w:styleId="Style16">
    <w:name w:val="批注主题 字符"/>
    <w:qFormat/>
    <w:rPr>
      <w:b/>
      <w:bCs/>
      <w:kern w:val="2"/>
      <w:sz w:val="21"/>
      <w:szCs w:val="24"/>
    </w:rPr>
  </w:style>
  <w:style w:type="character" w:styleId="Style17">
    <w:name w:val="尾注符"/>
    <w:qFormat/>
    <w:rPr>
      <w:vertAlign w:val="superscript"/>
    </w:rPr>
  </w:style>
  <w:style w:type="character" w:styleId="PageNumber">
    <w:name w:val="page number"/>
    <w:rPr/>
  </w:style>
  <w:style w:type="character" w:styleId="Hyperlink">
    <w:name w:val="Hyperlink"/>
    <w:rPr>
      <w:color w:val="0000FF"/>
      <w:u w:val="single"/>
    </w:rPr>
  </w:style>
  <w:style w:type="character" w:styleId="Style18">
    <w:name w:val="批注引用"/>
    <w:qFormat/>
    <w:rPr>
      <w:sz w:val="21"/>
      <w:szCs w:val="21"/>
    </w:rPr>
  </w:style>
  <w:style w:type="character" w:styleId="Style19">
    <w:name w:val="脚注符"/>
    <w:qFormat/>
    <w:rPr>
      <w:vertAlign w:val="superscript"/>
    </w:rPr>
  </w:style>
  <w:style w:type="character" w:styleId="Style20">
    <w:name w:val="索引链接"/>
    <w:qFormat/>
    <w:rPr/>
  </w:style>
  <w:style w:type="paragraph" w:styleId="Style21">
    <w:name w:val="标题样式"/>
    <w:basedOn w:val="Normal"/>
    <w:next w:val="BodyText"/>
    <w:qFormat/>
    <w:pPr>
      <w:jc w:val="center"/>
    </w:pPr>
    <w:rPr>
      <w:rFonts w:eastAsia="黑体;SimHei"/>
      <w:b/>
      <w:bCs/>
      <w:sz w:val="3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22">
    <w:name w:val="索引"/>
    <w:basedOn w:val="Normal"/>
    <w:qFormat/>
    <w:pPr>
      <w:suppressLineNumbers/>
    </w:pPr>
    <w:rPr>
      <w:rFonts w:cs="Lucida Sans"/>
    </w:rPr>
  </w:style>
  <w:style w:type="paragraph" w:styleId="Style23">
    <w:name w:val="批注文字"/>
    <w:basedOn w:val="Normal"/>
    <w:qFormat/>
    <w:pPr>
      <w:jc w:val="start"/>
    </w:pPr>
    <w:rPr/>
  </w:style>
  <w:style w:type="paragraph" w:styleId="BodyTextIndent">
    <w:name w:val="Body Text Indent"/>
    <w:basedOn w:val="Normal"/>
    <w:pPr>
      <w:spacing w:lineRule="atLeast" w:line="400"/>
      <w:ind w:firstLine="480" w:start="0" w:end="0"/>
    </w:pPr>
    <w:rPr>
      <w:sz w:val="24"/>
      <w:szCs w:val="20"/>
    </w:rPr>
  </w:style>
  <w:style w:type="paragraph" w:styleId="Style24">
    <w:name w:val="文本块"/>
    <w:basedOn w:val="Normal"/>
    <w:qFormat/>
    <w:pPr>
      <w:autoSpaceDE w:val="false"/>
      <w:spacing w:lineRule="atLeast" w:line="321"/>
      <w:ind w:firstLine="420" w:start="175" w:end="6"/>
    </w:pPr>
    <w:rPr>
      <w:kern w:val="0"/>
      <w:szCs w:val="21"/>
    </w:rPr>
  </w:style>
  <w:style w:type="paragraph" w:styleId="TOC3">
    <w:name w:val="toc 3"/>
    <w:basedOn w:val="Normal"/>
    <w:next w:val="Normal"/>
    <w:pPr>
      <w:snapToGrid w:val="false"/>
      <w:spacing w:lineRule="auto" w:line="300"/>
      <w:ind w:firstLineChars="0" w:firstLine="0" w:startChars="400" w:endChars="0" w:end="0"/>
    </w:pPr>
    <w:rPr>
      <w:sz w:val="28"/>
    </w:rPr>
  </w:style>
  <w:style w:type="paragraph" w:styleId="Style25">
    <w:name w:val="纯文本"/>
    <w:basedOn w:val="Normal"/>
    <w:qFormat/>
    <w:pPr/>
    <w:rPr>
      <w:rFonts w:ascii="宋体;SimSun" w:hAnsi="宋体;SimSun" w:cs="Courier New"/>
      <w:szCs w:val="20"/>
    </w:rPr>
  </w:style>
  <w:style w:type="paragraph" w:styleId="21">
    <w:name w:val="正文文本缩进 2"/>
    <w:basedOn w:val="Normal"/>
    <w:qFormat/>
    <w:pPr>
      <w:spacing w:lineRule="atLeast" w:line="600"/>
      <w:ind w:firstLine="735" w:start="0" w:end="0"/>
    </w:pPr>
    <w:rPr>
      <w:rFonts w:ascii="仿宋_GB2312;仿宋" w:hAnsi="仿宋_GB2312;仿宋" w:eastAsia="仿宋_GB2312;仿宋" w:hint="eastAsia"/>
      <w:sz w:val="32"/>
      <w:szCs w:val="20"/>
    </w:rPr>
  </w:style>
  <w:style w:type="paragraph" w:styleId="EndnoteText">
    <w:name w:val="endnote text"/>
    <w:basedOn w:val="Normal"/>
    <w:pPr>
      <w:snapToGrid w:val="false"/>
      <w:jc w:val="start"/>
    </w:pPr>
    <w:rPr/>
  </w:style>
  <w:style w:type="paragraph" w:styleId="Style26">
    <w:name w:val="批注框文本"/>
    <w:basedOn w:val="Normal"/>
    <w:qFormat/>
    <w:pPr/>
    <w:rPr>
      <w:sz w:val="18"/>
      <w:szCs w:val="18"/>
    </w:rPr>
  </w:style>
  <w:style w:type="paragraph" w:styleId="Style27">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snapToGrid w:val="false"/>
      <w:spacing w:lineRule="auto" w:line="300"/>
    </w:pPr>
    <w:rPr>
      <w:sz w:val="28"/>
    </w:rPr>
  </w:style>
  <w:style w:type="paragraph" w:styleId="FootnoteText">
    <w:name w:val="footnote text"/>
    <w:basedOn w:val="Normal"/>
    <w:pPr>
      <w:snapToGrid w:val="false"/>
      <w:jc w:val="start"/>
    </w:pPr>
    <w:rPr>
      <w:sz w:val="18"/>
      <w:szCs w:val="18"/>
    </w:rPr>
  </w:style>
  <w:style w:type="paragraph" w:styleId="3">
    <w:name w:val="正文文本缩进 3"/>
    <w:basedOn w:val="Normal"/>
    <w:qFormat/>
    <w:pPr>
      <w:spacing w:lineRule="atLeast" w:line="360"/>
      <w:ind w:firstLine="735" w:start="0" w:end="0"/>
    </w:pPr>
    <w:rPr>
      <w:rFonts w:ascii="仿宋_GB2312;仿宋" w:hAnsi="仿宋_GB2312;仿宋" w:eastAsia="仿宋_GB2312;仿宋" w:hint="eastAsia"/>
      <w:sz w:val="24"/>
    </w:rPr>
  </w:style>
  <w:style w:type="paragraph" w:styleId="TOC2">
    <w:name w:val="toc 2"/>
    <w:basedOn w:val="Normal"/>
    <w:next w:val="Normal"/>
    <w:pPr>
      <w:snapToGrid w:val="false"/>
      <w:spacing w:lineRule="auto" w:line="300"/>
      <w:ind w:firstLineChars="0" w:firstLine="0" w:startChars="200" w:endChars="0" w:end="0"/>
    </w:pPr>
    <w:rPr>
      <w:sz w:val="28"/>
    </w:rPr>
  </w:style>
  <w:style w:type="paragraph" w:styleId="22">
    <w:name w:val="正文文本 2"/>
    <w:basedOn w:val="Normal"/>
    <w:qFormat/>
    <w:pPr>
      <w:spacing w:lineRule="auto" w:line="480" w:before="0" w:after="120"/>
    </w:pPr>
    <w:rPr/>
  </w:style>
  <w:style w:type="paragraph" w:styleId="Style28">
    <w:name w:val="普通(网站)"/>
    <w:basedOn w:val="Normal"/>
    <w:qFormat/>
    <w:pPr>
      <w:widowControl/>
      <w:spacing w:before="100" w:after="100"/>
      <w:jc w:val="start"/>
    </w:pPr>
    <w:rPr>
      <w:rFonts w:ascii="Arial Unicode MS" w:hAnsi="Arial Unicode MS" w:eastAsia="Arial Unicode MS" w:cs="Arial Unicode MS"/>
      <w:kern w:val="0"/>
      <w:sz w:val="24"/>
    </w:rPr>
  </w:style>
  <w:style w:type="paragraph" w:styleId="Style29">
    <w:name w:val="批注主题"/>
    <w:basedOn w:val="Style23"/>
    <w:next w:val="Style23"/>
    <w:qFormat/>
    <w:pPr/>
    <w:rPr>
      <w:b/>
      <w:bCs/>
    </w:rPr>
  </w:style>
  <w:style w:type="paragraph" w:styleId="31">
    <w:name w:val="样式3"/>
    <w:qFormat/>
    <w:pPr>
      <w:widowControl w:val="false"/>
      <w:bidi w:val="0"/>
      <w:jc w:val="both"/>
    </w:pPr>
    <w:rPr>
      <w:rFonts w:ascii="Times New Roman" w:hAnsi="Times New Roman" w:eastAsia="宋体;SimSun" w:cs="Times New Roman"/>
      <w:color w:val="auto"/>
      <w:sz w:val="20"/>
      <w:szCs w:val="20"/>
      <w:lang w:bidi="ar-SA" w:val="en-US" w:eastAsia="zh-CN"/>
    </w:rPr>
  </w:style>
  <w:style w:type="paragraph" w:styleId="TOC">
    <w:name w:val="TOC 标题"/>
    <w:basedOn w:val="Heading1"/>
    <w:next w:val="Normal"/>
    <w:qFormat/>
    <w:pPr>
      <w:widowControl/>
      <w:numPr>
        <w:ilvl w:val="0"/>
        <w:numId w:val="0"/>
      </w:numPr>
      <w:snapToGrid w:val="true"/>
      <w:spacing w:lineRule="auto" w:line="276" w:before="480" w:after="0"/>
      <w:jc w:val="start"/>
      <w:outlineLvl w:val="9"/>
    </w:pPr>
    <w:rPr>
      <w:rFonts w:ascii="Cambria" w:hAnsi="Cambria" w:eastAsia="宋体;SimSun" w:cs="Times New Roman"/>
      <w:b/>
      <w:color w:val="365F91"/>
      <w:kern w:val="0"/>
      <w:sz w:val="28"/>
      <w:szCs w:val="28"/>
    </w:rPr>
  </w:style>
  <w:style w:type="paragraph" w:styleId="Style30">
    <w:name w:val="表格内容"/>
    <w:basedOn w:val="Normal"/>
    <w:qFormat/>
    <w:pPr>
      <w:widowControl w:val="false"/>
      <w:suppressLineNumbers/>
    </w:pPr>
    <w:rPr/>
  </w:style>
  <w:style w:type="paragraph" w:styleId="Style31">
    <w:name w:val="表格标题"/>
    <w:basedOn w:val="Style30"/>
    <w:qFormat/>
    <w:pPr>
      <w:suppressLineNumbers/>
      <w:jc w:val="center"/>
    </w:pPr>
    <w:rPr>
      <w:b/>
      <w:bCs/>
    </w:rPr>
  </w:style>
  <w:style w:type="paragraph" w:customStyle="1" w:styleId="ReferenceItem">
    <w:name w:val="Reference Item"/>
    <w:pPr>
      <w:spacing w:line="276" w:lineRule="auto" w:after="80"/>
      <w:ind w:left="420" w:hanging="420"/>
    </w:pPr>
    <w:rPr>
      <w:rFonts w:ascii="Times New Roman" w:hAnsi="Times New Roman" w:cs="Times New Roman" w:eastAsia="宋体"/>
      <w:b w:val="0"/>
      <w:sz w:val="21"/>
    </w:rPr>
  </w:style>
  <w:style w:type="paragraph" w:customStyle="1" w:styleId="CodeBlock">
    <w:name w:val="Code Block"/>
    <w:pPr>
      <w:spacing w:line="276" w:lineRule="auto" w:after="0"/>
    </w:pPr>
    <w:rPr>
      <w:rFonts w:ascii="Courier New" w:hAnsi="Courier New" w:cs="Courier New" w:eastAsia="宋体"/>
      <w:b w:val="0"/>
      <w:sz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header" Target="header1.xml"/><Relationship Id="rId4" Type="http://schemas.openxmlformats.org/officeDocument/2006/relationships/footer" Target="footer2.xml"/><Relationship Id="rId5" Type="http://schemas.openxmlformats.org/officeDocument/2006/relationships/image" Target="media/image1.png"/><Relationship Id="rId6" Type="http://schemas.openxmlformats.org/officeDocument/2006/relationships/oleObject" Target="embeddings/oleObject1.bin"/><Relationship Id="rId7" Type="http://schemas.openxmlformats.org/officeDocument/2006/relationships/image" Target="media/image2.wmf"/><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footer" Target="footer4.xml"/><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comments" Target="comments.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header" Target="header6.xml"/><Relationship Id="rId22" Type="http://schemas.openxmlformats.org/officeDocument/2006/relationships/footer" Target="footer7.xml"/><Relationship Id="rId23" Type="http://schemas.openxmlformats.org/officeDocument/2006/relationships/header" Target="header7.xml"/><Relationship Id="rId24" Type="http://schemas.openxmlformats.org/officeDocument/2006/relationships/footer" Target="footer8.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2018-01-01T11:42:00Z</dcterms:created>
  <dc:creator/>
  <dc:description/>
  <cp:keywords>MSH3; 错配修复; 二代测序; 腺瘤性息肉病; 结直肠癌</cp:keywords>
  <dc:language>zh-CN</dc:language>
  <cp:lastModifiedBy/>
  <cp:lastPrinted>2023-02-28T11:02:00Z</cp:lastPrinted>
  <dcterms:modified xsi:type="dcterms:W3CDTF">2026-06-05T22:09:00Z</dcterms:modified>
  <cp:revision>2</cp:revision>
  <dc:subject>基因检测与解读课程论文</dc:subject>
  <dc:title>MSH3基因的检测与分析</dc:title>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18d7a98b-fea8-44b2-ae3e-ade855020475</vt:lpwstr>
  </property>
  <property fmtid="{D5CDD505-2E9C-101B-9397-08002B2CF9AE}" pid="3" name="ICV">
    <vt:lpwstr>13E41082BA0B4DC99F816E160BD99080_12</vt:lpwstr>
  </property>
  <property fmtid="{D5CDD505-2E9C-101B-9397-08002B2CF9AE}" pid="4" name="KSOProductBuildVer">
    <vt:lpwstr>2052-12.1.0.25225</vt:lpwstr>
  </property>
  <property fmtid="{D5CDD505-2E9C-101B-9397-08002B2CF9AE}" pid="5" name="KSOTemplateDocerSaveRecord">
    <vt:lpwstr>eyJoZGlkIjoiNWEzNGNhMWVjYzNkYTAzM2QzYWQ4YjdkNjA0ZjMwMmQiLCJ1c2VySWQiOiIzNzYxMjIyOTIifQ==</vt:lpwstr>
  </property>
</Properties>
</file>