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/>
        <w:jc w:val="center"/>
      </w:pPr>
      <w:r>
        <w:rPr>
          <w:rFonts w:ascii="PingFang SC" w:hAnsi="PingFang SC" w:eastAsia="PingFang SC"/>
          <w:b/>
          <w:color w:val="17324D"/>
          <w:sz w:val="50"/>
        </w:rPr>
        <w:t>阿里云上线资源采购与部署指南</w:t>
      </w:r>
    </w:p>
    <w:p>
      <w:pPr>
        <w:spacing w:after="440"/>
        <w:jc w:val="center"/>
      </w:pPr>
      <w:r>
        <w:rPr>
          <w:rFonts w:ascii="PingFang SC" w:hAnsi="PingFang SC" w:eastAsia="PingFang SC"/>
          <w:b w:val="0"/>
          <w:color w:val="1769AA"/>
          <w:sz w:val="26"/>
        </w:rPr>
        <w:t>适用于 OpenDirector：Web、Canvas 与 Worker 同机起步方案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9"/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 xml:space="preserve">推荐起步目标　</w:t>
            </w:r>
            <w:r>
              <w:rPr>
                <w:rFonts w:ascii="PingFang SC" w:hAnsi="PingFang SC" w:eastAsia="PingFang SC"/>
                <w:b w:val="0"/>
                <w:color w:val="17324D"/>
                <w:sz w:val="22"/>
              </w:rPr>
              <w:t>日活约 1 万人、峰值在线约 300～800 人；Web 与 Worker 先部署在一台 ECS，RDS、Tair 和 OSS 使用阿里云托管服务。</w:t>
            </w:r>
          </w:p>
        </w:tc>
      </w:tr>
    </w:tbl>
    <w:p>
      <w:pPr>
        <w:spacing w:after="0"/>
      </w:pPr>
    </w:p>
    <w:p>
      <w:pPr>
        <w:spacing w:before="360" w:after="80"/>
      </w:pPr>
      <w:r>
        <w:rPr>
          <w:rFonts w:ascii="PingFang SC" w:hAnsi="PingFang SC" w:eastAsia="PingFang SC"/>
          <w:b/>
          <w:color w:val="17324D"/>
          <w:sz w:val="24"/>
        </w:rPr>
        <w:t>推荐架构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0F5F9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7324D"/>
                <w:sz w:val="21"/>
              </w:rPr>
              <w:t>用户</w:t>
              <w:br/>
              <w:t xml:space="preserve">  ↓</w:t>
              <w:br/>
              <w:t>CDN + HTTPS</w:t>
              <w:br/>
              <w:t xml:space="preserve">  ↓</w:t>
              <w:br/>
              <w:t>ECS 8核16GB</w:t>
              <w:br/>
              <w:t>├── Nginx</w:t>
              <w:br/>
              <w:t>├── Web 容器</w:t>
              <w:br/>
              <w:t>├── Canvas 画布服务</w:t>
              <w:br/>
              <w:t>└── Worker 容器</w:t>
              <w:br/>
              <w:t xml:space="preserve">       ↓</w:t>
              <w:br/>
              <w:t xml:space="preserve">  RDS MySQL  ·  Tair Redis  ·  OSS 图片/音视频</w:t>
            </w:r>
          </w:p>
        </w:tc>
      </w:tr>
    </w:tbl>
    <w:p>
      <w:pPr>
        <w:spacing w:before="320"/>
        <w:jc w:val="center"/>
      </w:pPr>
      <w:r>
        <w:rPr>
          <w:rFonts w:ascii="PingFang SC" w:hAnsi="PingFang SC" w:eastAsia="PingFang SC"/>
          <w:b w:val="0"/>
          <w:color w:val="667085"/>
          <w:sz w:val="18"/>
        </w:rPr>
        <w:t>版本：2026年8月　｜　采购前请以阿里云控制台实时库存与价格为准</w:t>
      </w:r>
    </w:p>
    <w:p>
      <w:r>
        <w:br w:type="page"/>
      </w:r>
    </w:p>
    <w:p>
      <w:pPr>
        <w:pStyle w:val="Heading1"/>
      </w:pPr>
      <w:r>
        <w:t>1. 官方购买与开通入口</w:t>
      </w:r>
    </w:p>
    <w:p>
      <w:r>
        <w:t>下表均为阿里云官方入口。ECS、RDS 和 Tair需要创建实例；OSS、CDN和证书服务通常先开通，再按实际使用或套餐计费。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200"/>
        <w:gridCol w:w="4310"/>
      </w:tblGrid>
      <w:tr>
        <w:trPr>
          <w:tblHeader w:val="true"/>
        </w:trPr>
        <w:tc>
          <w:tcPr>
            <w:tcW w:type="dxa" w:w="185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32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431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阿里云官方入口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阿里云账号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注册、登录及实名认证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1">
              <w:r>
                <w:rPr>
                  <w:color w:val="1769AA"/>
                  <w:u w:val="single"/>
                  <w:rFonts w:eastAsia="PingFang SC" w:ascii="PingFang SC" w:hAnsi="PingFang SC"/>
                </w:rPr>
                <w:t>登录/注册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域名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购买网站域名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2">
              <w:r>
                <w:rPr>
                  <w:color w:val="1769AA"/>
                  <w:u w:val="single"/>
                  <w:rFonts w:eastAsia="PingFang SC" w:ascii="PingFang SC" w:hAnsi="PingFang SC"/>
                </w:rPr>
                <w:t>万网域名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ECS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运行Nginx、Web、Canvas和Worker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3">
              <w:r>
                <w:rPr>
                  <w:color w:val="1769AA"/>
                  <w:u w:val="single"/>
                  <w:rFonts w:eastAsia="PingFang SC" w:ascii="PingFang SC" w:hAnsi="PingFang SC"/>
                </w:rPr>
                <w:t>云服务器ECS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RDS MySQL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保存用户、项目、任务、订单和权限数据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4">
              <w:r>
                <w:rPr>
                  <w:color w:val="1769AA"/>
                  <w:u w:val="single"/>
                  <w:rFonts w:eastAsia="PingFang SC" w:ascii="PingFang SC" w:hAnsi="PingFang SC"/>
                </w:rPr>
                <w:t>RDS MySQL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Tair/Redis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缓存、Session、限流和BullMQ任务队列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5">
              <w:r>
                <w:rPr>
                  <w:color w:val="1769AA"/>
                  <w:u w:val="single"/>
                  <w:rFonts w:eastAsia="PingFang SC" w:ascii="PingFang SC" w:hAnsi="PingFang SC"/>
                </w:rPr>
                <w:t>Tair控制台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OSS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保存图片、音频、视频和用户上传文件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6">
              <w:r>
                <w:rPr>
                  <w:color w:val="1769AA"/>
                  <w:u w:val="single"/>
                  <w:rFonts w:eastAsia="PingFang SC" w:ascii="PingFang SC" w:hAnsi="PingFang SC"/>
                </w:rPr>
                <w:t>对象存储OSS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CDN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加速OSS中的图片和视频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7">
              <w:r>
                <w:rPr>
                  <w:color w:val="1769AA"/>
                  <w:u w:val="single"/>
                  <w:rFonts w:eastAsia="PingFang SC" w:ascii="PingFang SC" w:hAnsi="PingFang SC"/>
                </w:rPr>
                <w:t>内容分发网络CDN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HTTPS证书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为网站、API和CDN域名启用HTTPS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8">
              <w:r>
                <w:rPr>
                  <w:color w:val="1769AA"/>
                  <w:u w:val="single"/>
                  <w:rFonts w:eastAsia="PingFang SC" w:ascii="PingFang SC" w:hAnsi="PingFang SC"/>
                </w:rPr>
                <w:t>数字证书管理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DNS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把域名解析到ECS或CDN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19">
              <w:r>
                <w:rPr>
                  <w:color w:val="1769AA"/>
                  <w:u w:val="single"/>
                  <w:rFonts w:eastAsia="PingFang SC" w:ascii="PingFang SC" w:hAnsi="PingFang SC"/>
                </w:rPr>
                <w:t>云解析DNS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ICP备案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中国大陆服务器正式开站备案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20">
              <w:r>
                <w:rPr>
                  <w:color w:val="1769AA"/>
                  <w:u w:val="single"/>
                  <w:rFonts w:eastAsia="PingFang SC" w:ascii="PingFang SC" w:hAnsi="PingFang SC"/>
                </w:rPr>
                <w:t>阿里云备案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VPC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让ECS、RDS和Tair通过私网通信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21">
              <w:r>
                <w:rPr>
                  <w:color w:val="1769AA"/>
                  <w:u w:val="single"/>
                  <w:rFonts w:eastAsia="PingFang SC" w:ascii="PingFang SC" w:hAnsi="PingFang SC"/>
                </w:rPr>
                <w:t>VPC控制台</w:t>
              </w:r>
            </w:hyperlink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费用中心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预算、账单和费用告警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22">
              <w:r>
                <w:rPr>
                  <w:color w:val="1769AA"/>
                  <w:u w:val="single"/>
                  <w:rFonts w:eastAsia="PingFang SC" w:ascii="PingFang SC" w:hAnsi="PingFang SC"/>
                </w:rPr>
                <w:t>费用与成本</w:t>
              </w:r>
            </w:hyperlink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9"/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 xml:space="preserve">关键原则　</w:t>
            </w:r>
            <w:r>
              <w:rPr>
                <w:rFonts w:ascii="PingFang SC" w:hAnsi="PingFang SC" w:eastAsia="PingFang SC"/>
                <w:b w:val="0"/>
                <w:color w:val="17324D"/>
                <w:sz w:val="22"/>
              </w:rPr>
              <w:t>ECS、RDS、Tair和OSS应选择同一地域；ECS、RDS和Tair应加入同一VPC，应用使用内网地址连接数据库和Redis。</w:t>
            </w:r>
          </w:p>
        </w:tc>
      </w:tr>
    </w:tbl>
    <w:p>
      <w:pPr>
        <w:spacing w:after="0"/>
      </w:pPr>
    </w:p>
    <w:p>
      <w:pPr>
        <w:pStyle w:val="Heading1"/>
      </w:pPr>
      <w:r>
        <w:t>2. ECS 服务器配置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用途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同机运行 Nginx、Web、Canvas 和 Worker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实例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通用型 g 系列或计算型 c 系列，x86 架构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起步规格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8核16GB；视频渲染较重时优先16核32GB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操作系统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Ubuntu 22.04 LTS 64位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系统盘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100GB ESSD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数据盘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建议200GB ESSD，用于渲染临时文件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公网带宽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5～10Mbps起步；图片和视频下载交给OSS + CDN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安全组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开放80/443；22端口限制为管理员IP；不要开放3306/6379</w:t>
            </w:r>
          </w:p>
        </w:tc>
      </w:tr>
    </w:tbl>
    <w:p>
      <w:pPr>
        <w:pStyle w:val="Heading2"/>
      </w:pPr>
      <w:r>
        <w:t>容器资源建议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Web容器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约3核、5GB内存，负责页面和API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Canvas服务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约1核、2GB内存，负责画布后端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Worker容器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约3核、7GB内存，WORKER_CONCURRENCY=1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系统保留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至少保留1核和2GB给Ubuntu、Nginx与Docker</w:t>
            </w:r>
          </w:p>
        </w:tc>
      </w:tr>
    </w:tbl>
    <w:p>
      <w:pPr>
        <w:pStyle w:val="Heading1"/>
      </w:pPr>
      <w:r>
        <w:t>3. RDS MySQL配置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版本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MySQL 8.0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系列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高可用系列，一主一备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起步规格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2核4GB；业务增长后升级4核8GB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存储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100GB ESSD PL1，开启存储自动扩容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网络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VPC内网，不申请公网连接地址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备份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每日自动备份，保留7～14天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安全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白名单只允许ECS所在交换机或安全组访问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9"/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 xml:space="preserve">不要选择　</w:t>
            </w:r>
            <w:r>
              <w:rPr>
                <w:rFonts w:ascii="PingFang SC" w:hAnsi="PingFang SC" w:eastAsia="PingFang SC"/>
                <w:b w:val="0"/>
                <w:color w:val="17324D"/>
                <w:sz w:val="22"/>
              </w:rPr>
              <w:t>正式生产环境不要选择基础单节点系列；不要把RDS的3306端口开放到公网。</w:t>
            </w:r>
          </w:p>
        </w:tc>
      </w:tr>
    </w:tbl>
    <w:p>
      <w:pPr>
        <w:spacing w:after="0"/>
      </w:pPr>
    </w:p>
    <w:p>
      <w:pPr>
        <w:pStyle w:val="Heading1"/>
      </w:pPr>
      <w:r>
        <w:t>4. Tair / Redis配置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产品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Tair（兼容Redis）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架构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标准主备双副本，初期不使用单节点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容量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2GB起步，推荐4GB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用途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BullMQ任务、Session、缓存、验证码和限流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网络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与ECS相同VPC，只使用内网连接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备份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开启持久化、自动备份和内存告警</w:t>
            </w:r>
          </w:p>
        </w:tc>
      </w:tr>
    </w:tbl>
    <w:p>
      <w:pPr>
        <w:pStyle w:val="ListBullet"/>
      </w:pPr>
      <w:r>
        <w:t>已完成和失败的BullMQ任务必须设置保留时长与数量上限。</w:t>
      </w:r>
    </w:p>
    <w:p>
      <w:pPr>
        <w:pStyle w:val="ListBullet"/>
      </w:pPr>
      <w:r>
        <w:t>Redis不保存唯一一份订单、用户或项目数据；永久数据写入RDS。</w:t>
      </w:r>
    </w:p>
    <w:p>
      <w:pPr>
        <w:pStyle w:val="ListBullet"/>
      </w:pPr>
      <w:r>
        <w:t>Redis内存持续超过60%～70%时，升级到4GB或8GB。</w:t>
      </w:r>
    </w:p>
    <w:p>
      <w:pPr>
        <w:pStyle w:val="Heading1"/>
      </w:pPr>
      <w:r>
        <w:t>5. OSS文件存储配置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Bucket权限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私有；开启阻止公共访问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存储类型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标准存储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冗余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预算允许选择同城冗余ZRS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地域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与ECS相同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安全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服务端加密；使用RAM子账号，不使用主账号AccessKey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访问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后端生成签名URL，或由CDN提供鉴权URL</w:t>
            </w:r>
          </w:p>
        </w:tc>
      </w:tr>
    </w:tbl>
    <w:p>
      <w:pPr>
        <w:pStyle w:val="Heading2"/>
      </w:pPr>
      <w:r>
        <w:t>建议目录</w:t>
      </w:r>
    </w:p>
    <w:p>
      <w:pPr>
        <w:pStyle w:val="ListBullet"/>
      </w:pPr>
      <w:r>
        <w:t>users/：用户相关文件</w:t>
      </w:r>
    </w:p>
    <w:p>
      <w:pPr>
        <w:pStyle w:val="ListBullet"/>
      </w:pPr>
      <w:r>
        <w:t>uploads/：用户上传</w:t>
      </w:r>
    </w:p>
    <w:p>
      <w:pPr>
        <w:pStyle w:val="ListBullet"/>
      </w:pPr>
      <w:r>
        <w:t>images/：生成图片</w:t>
      </w:r>
    </w:p>
    <w:p>
      <w:pPr>
        <w:pStyle w:val="ListBullet"/>
      </w:pPr>
      <w:r>
        <w:t>audio/：语音与音乐</w:t>
      </w:r>
    </w:p>
    <w:p>
      <w:pPr>
        <w:pStyle w:val="ListBullet"/>
      </w:pPr>
      <w:r>
        <w:t>videos/：视频素材</w:t>
      </w:r>
    </w:p>
    <w:p>
      <w:pPr>
        <w:pStyle w:val="ListBullet"/>
      </w:pPr>
      <w:r>
        <w:t>renders/：最终成片</w:t>
      </w:r>
    </w:p>
    <w:p>
      <w:pPr>
        <w:pStyle w:val="ListBullet"/>
      </w:pPr>
      <w:r>
        <w:t>temporary/：临时文件</w:t>
      </w:r>
    </w:p>
    <w:p>
      <w:pPr>
        <w:pStyle w:val="Heading2"/>
      </w:pPr>
      <w:r>
        <w:t>生命周期规则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临时上传/中间文件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1～7天自动删除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失败任务文件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7～30天自动删除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原始素材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30～90天后按访问情况转低频存储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长期未访问成片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90天后转低频或归档；注意最低保存周期和取回费用</w:t>
            </w:r>
          </w:p>
        </w:tc>
      </w:tr>
    </w:tbl>
    <w:p>
      <w:pPr>
        <w:pStyle w:val="Heading1"/>
      </w:pPr>
      <w:r>
        <w:t>6. CDN、域名与HTTPS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网站域名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www.example.com → ECS公网IP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素材域名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cdn.example.com → CDN提供的CNAME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CDN源站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OSS Bucket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业务类型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图片小文件或视音频点播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HTTPS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网站与CDN均启用；证书可使用阿里云免费DV证书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安全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开启URL鉴权、Referer防盗链、带宽封顶和费用告警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缓存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图片和最终视频通常缓存7～30天；API不做长缓存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9"/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 xml:space="preserve">备案提示　</w:t>
            </w:r>
            <w:r>
              <w:rPr>
                <w:rFonts w:ascii="PingFang SC" w:hAnsi="PingFang SC" w:eastAsia="PingFang SC"/>
                <w:b w:val="0"/>
                <w:color w:val="17324D"/>
                <w:sz w:val="22"/>
              </w:rPr>
              <w:t>ECS或CDN使用中国大陆地域时，域名通常需要完成ICP备案；香港地域一般不要求ICP备案，但中国大陆访问质量可能有所差异。</w:t>
            </w:r>
          </w:p>
        </w:tc>
      </w:tr>
    </w:tbl>
    <w:p>
      <w:pPr>
        <w:spacing w:after="0"/>
      </w:pPr>
    </w:p>
    <w:p>
      <w:pPr>
        <w:pStyle w:val="Heading1"/>
      </w:pPr>
      <w:r>
        <w:t>7. 推荐购买与部署顺序</w:t>
      </w:r>
    </w:p>
    <w:p>
      <w:pPr>
        <w:pStyle w:val="ListNumber"/>
      </w:pPr>
      <w:r>
        <w:t>注册阿里云账号并完成个人或企业实名认证。</w:t>
      </w:r>
    </w:p>
    <w:p>
      <w:pPr>
        <w:pStyle w:val="ListNumber"/>
      </w:pPr>
      <w:r>
        <w:t>购买并实名认证域名。</w:t>
      </w:r>
    </w:p>
    <w:p>
      <w:pPr>
        <w:pStyle w:val="ListNumber"/>
      </w:pPr>
      <w:r>
        <w:t>购买ECS，创建VPC、交换机和安全组。</w:t>
      </w:r>
    </w:p>
    <w:p>
      <w:pPr>
        <w:pStyle w:val="ListNumber"/>
      </w:pPr>
      <w:r>
        <w:t>若使用中国大陆ECS，立即提交ICP备案。</w:t>
      </w:r>
    </w:p>
    <w:p>
      <w:pPr>
        <w:pStyle w:val="ListNumber"/>
      </w:pPr>
      <w:r>
        <w:t>创建RDS MySQL高可用实例，确保地域和VPC与ECS一致。</w:t>
      </w:r>
    </w:p>
    <w:p>
      <w:pPr>
        <w:pStyle w:val="ListNumber"/>
      </w:pPr>
      <w:r>
        <w:t>创建Tair标准主备实例，确保地域和VPC与ECS一致。</w:t>
      </w:r>
    </w:p>
    <w:p>
      <w:pPr>
        <w:pStyle w:val="ListNumber"/>
      </w:pPr>
      <w:r>
        <w:t>开通OSS并创建私有Bucket，配置RAM权限和生命周期。</w:t>
      </w:r>
    </w:p>
    <w:p>
      <w:pPr>
        <w:pStyle w:val="ListNumber"/>
      </w:pPr>
      <w:r>
        <w:t>申请HTTPS证书，配置Nginx和正式域名。</w:t>
      </w:r>
    </w:p>
    <w:p>
      <w:pPr>
        <w:pStyle w:val="ListNumber"/>
      </w:pPr>
      <w:r>
        <w:t>部署Web、Canvas和Worker容器并完成数据库迁移。</w:t>
      </w:r>
    </w:p>
    <w:p>
      <w:pPr>
        <w:pStyle w:val="ListNumber"/>
      </w:pPr>
      <w:r>
        <w:t>确认OSS上传下载正常后开通CDN，并配置CNAME、鉴权和缓存。</w:t>
      </w:r>
    </w:p>
    <w:p>
      <w:pPr>
        <w:pStyle w:val="ListNumber"/>
      </w:pPr>
      <w:r>
        <w:t>设置CPU、内存、磁盘、数据库、Redis和费用告警。</w:t>
      </w:r>
    </w:p>
    <w:p>
      <w:pPr>
        <w:pStyle w:val="ListNumber"/>
      </w:pPr>
      <w:r>
        <w:t>进行压力测试和视频任务测试，通过后正式开放流量。</w:t>
      </w:r>
    </w:p>
    <w:p>
      <w:pPr>
        <w:pStyle w:val="Heading1"/>
      </w:pPr>
      <w:r>
        <w:t>8. 上线前检查清单</w:t>
      </w:r>
    </w:p>
    <w:p>
      <w:pPr>
        <w:pStyle w:val="ListBullet"/>
      </w:pPr>
      <w:r>
        <w:t>□ ECS、RDS、Tair和OSS地域一致；ECS、RDS和Tair位于同一VPC。</w:t>
      </w:r>
    </w:p>
    <w:p>
      <w:pPr>
        <w:pStyle w:val="ListBullet"/>
      </w:pPr>
      <w:r>
        <w:t>□ MySQL和Redis均未开放公网访问。</w:t>
      </w:r>
    </w:p>
    <w:p>
      <w:pPr>
        <w:pStyle w:val="ListBullet"/>
      </w:pPr>
      <w:r>
        <w:t>□ OSS Bucket为私有，并开启阻止公共访问。</w:t>
      </w:r>
    </w:p>
    <w:p>
      <w:pPr>
        <w:pStyle w:val="ListBullet"/>
      </w:pPr>
      <w:r>
        <w:t>□ Web、Canvas和Worker容器配置自动重启与日志轮转。</w:t>
      </w:r>
    </w:p>
    <w:p>
      <w:pPr>
        <w:pStyle w:val="ListBullet"/>
      </w:pPr>
      <w:r>
        <w:t>□ Worker并发初始设置为1，且不会抢占全部CPU和内存。</w:t>
      </w:r>
    </w:p>
    <w:p>
      <w:pPr>
        <w:pStyle w:val="ListBullet"/>
      </w:pPr>
      <w:r>
        <w:t>□ 渲染成功、失败和超时后都会清理临时文件。</w:t>
      </w:r>
    </w:p>
    <w:p>
      <w:pPr>
        <w:pStyle w:val="ListBullet"/>
      </w:pPr>
      <w:r>
        <w:t>□ RDS每日备份，并进行过至少一次恢复演练。</w:t>
      </w:r>
    </w:p>
    <w:p>
      <w:pPr>
        <w:pStyle w:val="ListBullet"/>
      </w:pPr>
      <w:r>
        <w:t>□ CDN开启HTTPS、URL鉴权、防盗链和带宽封顶。</w:t>
      </w:r>
    </w:p>
    <w:p>
      <w:pPr>
        <w:pStyle w:val="ListBullet"/>
      </w:pPr>
      <w:r>
        <w:t>□ 配置API限流、单用户任务上限和AI费用预算。</w:t>
      </w:r>
    </w:p>
    <w:p>
      <w:pPr>
        <w:pStyle w:val="ListBullet"/>
      </w:pPr>
      <w:r>
        <w:t>□ 完成注册、登录、上传、画布、生成、渲染和播放全链路测试。</w:t>
      </w:r>
    </w:p>
    <w:p>
      <w:pPr>
        <w:pStyle w:val="Heading1"/>
      </w:pPr>
      <w:r>
        <w:t>9. 后期扩容路线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660"/>
            <w:shd w:fill="1769A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推荐选择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阶段A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ECS 8核16GB同机运行Web + Canvas + Worker；Worker并发1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阶段B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当渲染影响网站或任务等待过长时，把Worker拆到独立8核16GB ECS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阶段C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网站需要高可用时，增加第二台Web ECS并接入ALB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阶段D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根据Web RPS和队列长度分别自动扩容Web与Worker</w:t>
            </w:r>
          </w:p>
        </w:tc>
      </w:tr>
      <w:tr>
        <w:tc>
          <w:tcPr>
            <w:tcW w:type="dxa" w:w="27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阶段E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sz w:val="22"/>
              </w:rPr>
              <w:t>日活达到数万后，再评估Tair集群、RDS只读实例、ACK或更细服务化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9"/>
          </w:tcPr>
          <w:p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 xml:space="preserve">容量说明　</w:t>
            </w:r>
            <w:r>
              <w:rPr>
                <w:rFonts w:ascii="PingFang SC" w:hAnsi="PingFang SC" w:eastAsia="PingFang SC"/>
                <w:b w:val="0"/>
                <w:color w:val="17324D"/>
                <w:sz w:val="22"/>
              </w:rPr>
              <w:t>8核16GB同机方案可以作为日活约5,000～10,000的起步目标，但实际容量取决于接口、缓存、数据库查询和视频任务耗时。正式承诺容量前必须进行压测。</w:t>
            </w:r>
          </w:p>
        </w:tc>
      </w:tr>
    </w:tbl>
    <w:p>
      <w:pPr>
        <w:spacing w:after="0"/>
      </w:pPr>
    </w:p>
    <w:p>
      <w:pPr>
        <w:pStyle w:val="Heading1"/>
      </w:pPr>
      <w:r>
        <w:t>10. 关键官方资料</w:t>
      </w:r>
    </w:p>
    <w:p>
      <w:pPr>
        <w:pStyle w:val="ListBullet"/>
      </w:pPr>
      <w:hyperlink r:id="rId23">
        <w:r>
          <w:rPr>
            <w:color w:val="1769AA"/>
            <w:u w:val="single"/>
            <w:rFonts w:eastAsia="PingFang SC" w:ascii="PingFang SC" w:hAnsi="PingFang SC"/>
          </w:rPr>
          <w:t>ECS入门指引</w:t>
        </w:r>
      </w:hyperlink>
    </w:p>
    <w:p>
      <w:pPr>
        <w:pStyle w:val="ListBullet"/>
      </w:pPr>
      <w:hyperlink r:id="rId24">
        <w:r>
          <w:rPr>
            <w:color w:val="1769AA"/>
            <w:u w:val="single"/>
            <w:rFonts w:eastAsia="PingFang SC" w:ascii="PingFang SC" w:hAnsi="PingFang SC"/>
          </w:rPr>
          <w:t>RDS MySQL产品系列</w:t>
        </w:r>
      </w:hyperlink>
    </w:p>
    <w:p>
      <w:pPr>
        <w:pStyle w:val="ListBullet"/>
      </w:pPr>
      <w:hyperlink r:id="rId25">
        <w:r>
          <w:rPr>
            <w:color w:val="1769AA"/>
            <w:u w:val="single"/>
            <w:rFonts w:eastAsia="PingFang SC" w:ascii="PingFang SC" w:hAnsi="PingFang SC"/>
          </w:rPr>
          <w:t>Tair产品架构</w:t>
        </w:r>
      </w:hyperlink>
    </w:p>
    <w:p>
      <w:pPr>
        <w:pStyle w:val="ListBullet"/>
      </w:pPr>
      <w:hyperlink r:id="rId16">
        <w:r>
          <w:rPr>
            <w:color w:val="1769AA"/>
            <w:u w:val="single"/>
            <w:rFonts w:eastAsia="PingFang SC" w:ascii="PingFang SC" w:hAnsi="PingFang SC"/>
          </w:rPr>
          <w:t>OSS产品与安全能力</w:t>
        </w:r>
      </w:hyperlink>
    </w:p>
    <w:p>
      <w:pPr>
        <w:pStyle w:val="ListBullet"/>
      </w:pPr>
      <w:hyperlink r:id="rId17">
        <w:r>
          <w:rPr>
            <w:color w:val="1769AA"/>
            <w:u w:val="single"/>
            <w:rFonts w:eastAsia="PingFang SC" w:ascii="PingFang SC" w:hAnsi="PingFang SC"/>
          </w:rPr>
          <w:t>CDN产品说明</w:t>
        </w:r>
      </w:hyperlink>
    </w:p>
    <w:p>
      <w:pPr>
        <w:pStyle w:val="ListBullet"/>
      </w:pPr>
      <w:hyperlink r:id="rId26">
        <w:r>
          <w:rPr>
            <w:color w:val="1769AA"/>
            <w:u w:val="single"/>
            <w:rFonts w:eastAsia="PingFang SC" w:ascii="PingFang SC" w:hAnsi="PingFang SC"/>
          </w:rPr>
          <w:t>阿里云性能测试PTS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667085"/>
        <w:sz w:val="18"/>
      </w:rPr>
      <w:t xml:space="preserve">第 </w:t>
    </w:r>
    <w:fldSimple w:instr="PAGE"/>
    <w:r>
      <w:rPr>
        <w:rFonts w:ascii="PingFang SC" w:hAnsi="PingFang SC" w:eastAsia="PingFang SC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667085"/>
        <w:sz w:val="17"/>
      </w:rPr>
      <w:t>OPEN DIRECTOR　｜　阿里云生产环境部署指南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769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count.aliyun.com/" TargetMode="External"/><Relationship Id="rId12" Type="http://schemas.openxmlformats.org/officeDocument/2006/relationships/hyperlink" Target="https://wanwang.aliyun.com/domain/" TargetMode="External"/><Relationship Id="rId13" Type="http://schemas.openxmlformats.org/officeDocument/2006/relationships/hyperlink" Target="https://cn.aliyun.com/product/ecs" TargetMode="External"/><Relationship Id="rId14" Type="http://schemas.openxmlformats.org/officeDocument/2006/relationships/hyperlink" Target="https://cn.aliyun.com/product/rds/mysql" TargetMode="External"/><Relationship Id="rId15" Type="http://schemas.openxmlformats.org/officeDocument/2006/relationships/hyperlink" Target="https://kvstore.console.aliyun.com/" TargetMode="External"/><Relationship Id="rId16" Type="http://schemas.openxmlformats.org/officeDocument/2006/relationships/hyperlink" Target="https://cn.aliyun.com/product/oss" TargetMode="External"/><Relationship Id="rId17" Type="http://schemas.openxmlformats.org/officeDocument/2006/relationships/hyperlink" Target="https://cn.aliyun.com/product/cdn" TargetMode="External"/><Relationship Id="rId18" Type="http://schemas.openxmlformats.org/officeDocument/2006/relationships/hyperlink" Target="https://cn.aliyun.com/product/cas" TargetMode="External"/><Relationship Id="rId19" Type="http://schemas.openxmlformats.org/officeDocument/2006/relationships/hyperlink" Target="https://dns.console.aliyun.com/" TargetMode="External"/><Relationship Id="rId20" Type="http://schemas.openxmlformats.org/officeDocument/2006/relationships/hyperlink" Target="https://beian.aliyun.com/" TargetMode="External"/><Relationship Id="rId21" Type="http://schemas.openxmlformats.org/officeDocument/2006/relationships/hyperlink" Target="https://vpc.console.aliyun.com/" TargetMode="External"/><Relationship Id="rId22" Type="http://schemas.openxmlformats.org/officeDocument/2006/relationships/hyperlink" Target="https://billing-cost.console.aliyun.com/" TargetMode="External"/><Relationship Id="rId23" Type="http://schemas.openxmlformats.org/officeDocument/2006/relationships/hyperlink" Target="https://help.aliyun.com/zh/ecs/quick-start" TargetMode="External"/><Relationship Id="rId24" Type="http://schemas.openxmlformats.org/officeDocument/2006/relationships/hyperlink" Target="https://help.aliyun.com/zh/rds/apsaradb-rds-for-mysql/product-editions/" TargetMode="External"/><Relationship Id="rId25" Type="http://schemas.openxmlformats.org/officeDocument/2006/relationships/hyperlink" Target="https://help.aliyun.com/zh/redis/product-overview/product-architecture" TargetMode="External"/><Relationship Id="rId26" Type="http://schemas.openxmlformats.org/officeDocument/2006/relationships/hyperlink" Target="https://help.aliyun.com/zh/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