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E94A3"/>
    <w:p w14:paraId="573B3B60">
      <w:r>
        <w:drawing>
          <wp:inline distT="0" distB="0" distL="114300" distR="114300">
            <wp:extent cx="5270500" cy="222694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B356E">
      <w:r>
        <w:drawing>
          <wp:inline distT="0" distB="0" distL="114300" distR="114300">
            <wp:extent cx="5270500" cy="2370455"/>
            <wp:effectExtent l="0" t="0" r="0" b="44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EC05E">
      <w:r>
        <w:drawing>
          <wp:inline distT="0" distB="0" distL="114300" distR="114300">
            <wp:extent cx="5273675" cy="201549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4E359"/>
    <w:p w14:paraId="4AC9152F">
      <w:r>
        <w:br w:type="page"/>
      </w:r>
    </w:p>
    <w:p w14:paraId="4A681B62">
      <w:pPr>
        <w:spacing w:before="0" w:after="60"/>
      </w:pPr>
      <w:r>
        <w:rPr>
          <w:rFonts w:ascii="Aptos" w:hAnsi="Aptos" w:eastAsia="Aptos"/>
          <w:b/>
          <w:i w:val="0"/>
          <w:color w:val="17365D"/>
          <w:sz w:val="34"/>
        </w:rPr>
        <w:t>Initial Design Calculation</w:t>
      </w:r>
    </w:p>
    <w:p w14:paraId="7307FAFC">
      <w:pPr>
        <w:spacing w:after="200"/>
      </w:pPr>
      <w:r>
        <w:rPr>
          <w:rFonts w:ascii="Aptos" w:hAnsi="Aptos" w:eastAsia="Aptos"/>
          <w:b w:val="0"/>
          <w:i/>
          <w:color w:val="52606D"/>
          <w:sz w:val="20"/>
        </w:rPr>
        <w:t>Ideal boost-converter duty-cycle range</w:t>
      </w:r>
    </w:p>
    <w:p w14:paraId="2B99A5CE">
      <w:pPr>
        <w:spacing w:before="40" w:after="100"/>
      </w:pPr>
      <w:r>
        <w:rPr>
          <w:rFonts w:ascii="Aptos" w:hAnsi="Aptos" w:eastAsia="Aptos"/>
          <w:b/>
          <w:i w:val="0"/>
          <w:color w:val="2F75B5"/>
          <w:sz w:val="23"/>
        </w:rPr>
        <w:t>1. Assumptions and governing equation</w:t>
      </w:r>
    </w:p>
    <w:p w14:paraId="08217822">
      <w:pPr>
        <w:spacing w:before="40" w:after="80" w:line="252" w:lineRule="auto"/>
        <w:rPr>
          <w:rFonts w:ascii="Aptos" w:hAnsi="Aptos" w:eastAsia="Aptos"/>
          <w:b w:val="0"/>
          <w:i w:val="0"/>
          <w:color w:val="1F2933"/>
          <w:sz w:val="19"/>
        </w:rPr>
      </w:pPr>
      <w:r>
        <w:rPr>
          <w:rFonts w:ascii="Aptos" w:hAnsi="Aptos" w:eastAsia="Aptos"/>
          <w:b/>
          <w:i w:val="0"/>
          <w:color w:val="2F75B5"/>
          <w:sz w:val="19"/>
        </w:rPr>
        <w:t xml:space="preserve">Assumptions. </w:t>
      </w:r>
      <w:r>
        <w:rPr>
          <w:rFonts w:ascii="Aptos" w:hAnsi="Aptos" w:eastAsia="Aptos"/>
          <w:b w:val="0"/>
          <w:i w:val="0"/>
          <w:color w:val="1F2933"/>
          <w:sz w:val="19"/>
        </w:rPr>
        <w:t>Ideal components, continuous-conduction mode (CCM), and steady-state operation.</w:t>
      </w:r>
    </w:p>
    <w:p w14:paraId="68744FCA">
      <w:pPr>
        <w:spacing w:before="40" w:after="80" w:line="252" w:lineRule="auto"/>
        <w:rPr>
          <w:rFonts w:ascii="Aptos" w:hAnsi="Aptos" w:eastAsia="Aptos"/>
          <w:b w:val="0"/>
          <w:i w:val="0"/>
          <w:color w:val="1F2933"/>
          <w:sz w:val="19"/>
        </w:rPr>
      </w:pPr>
      <w:r>
        <w:rPr>
          <w:rFonts w:ascii="Aptos" w:hAnsi="Aptos"/>
          <w:b w:val="0"/>
          <w:i w:val="0"/>
          <w:color w:val="232C34"/>
          <w:sz w:val="17"/>
        </w:rPr>
        <w:t>For an ideal boost converter operating in continuous-conduction mode (CCM) and steady state, the duty cycle D can be derived using the inductor volt-second balance principle (literature).</w:t>
      </w:r>
    </w:p>
    <w:p w14:paraId="5BCFC085">
      <w:pPr>
        <w:spacing w:after="80"/>
      </w:pPr>
      <w:r>
        <w:rPr>
          <w:rFonts w:ascii="Aptos" w:hAnsi="Aptos" w:eastAsia="Aptos"/>
          <w:b w:val="0"/>
          <w:i w:val="0"/>
          <w:color w:val="1F2933"/>
          <w:sz w:val="19"/>
        </w:rPr>
        <w:t>The duty cycle is obtained using inductor volt-second balance: the average inductor voltage over one switching period is zero.</w:t>
      </w:r>
    </w:p>
    <w:tbl>
      <w:tblPr>
        <w:tblStyle w:val="4"/>
        <w:tblW w:w="0" w:type="auto"/>
        <w:tblInd w:w="0" w:type="dxa"/>
        <w:tblBorders>
          <w:top w:val="single" w:color="EAF2F8" w:sz="2" w:space="0"/>
          <w:left w:val="single" w:color="EAF2F8" w:sz="2" w:space="0"/>
          <w:bottom w:val="single" w:color="EAF2F8" w:sz="2" w:space="0"/>
          <w:right w:val="single" w:color="EAF2F8" w:sz="2" w:space="0"/>
          <w:insideH w:val="single" w:color="EAF2F8" w:sz="2" w:space="0"/>
          <w:insideV w:val="single" w:color="EAF2F8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792"/>
      </w:tblGrid>
      <w:tr w14:paraId="2154753F">
        <w:tblPrEx>
          <w:tblBorders>
            <w:top w:val="single" w:color="EAF2F8" w:sz="2" w:space="0"/>
            <w:left w:val="single" w:color="EAF2F8" w:sz="2" w:space="0"/>
            <w:bottom w:val="single" w:color="EAF2F8" w:sz="2" w:space="0"/>
            <w:right w:val="single" w:color="EAF2F8" w:sz="2" w:space="0"/>
            <w:insideH w:val="single" w:color="EAF2F8" w:sz="2" w:space="0"/>
            <w:insideV w:val="single" w:color="EAF2F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  <w:shd w:val="clear" w:color="auto" w:fill="EAF2F8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78A0C94D">
            <w:pPr>
              <w:spacing w:before="60" w:after="10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>v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  <w:vertAlign w:val="subscript"/>
              </w:rPr>
              <w:t>L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 xml:space="preserve"> = L · di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  <w:vertAlign w:val="subscript"/>
              </w:rPr>
              <w:t>L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>/dt</w:t>
            </w:r>
          </w:p>
        </w:tc>
        <w:tc>
          <w:tcPr>
            <w:tcW w:w="4677" w:type="dxa"/>
            <w:shd w:val="clear" w:color="auto" w:fill="EAF2F8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7B118048">
            <w:pPr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52606D"/>
                <w:sz w:val="19"/>
              </w:rPr>
              <w:t>(1)</w:t>
            </w:r>
          </w:p>
        </w:tc>
      </w:tr>
    </w:tbl>
    <w:p w14:paraId="2D5FBD7F">
      <w:pPr>
        <w:spacing w:after="0" w:line="36" w:lineRule="auto"/>
      </w:pPr>
    </w:p>
    <w:tbl>
      <w:tblPr>
        <w:tblStyle w:val="4"/>
        <w:tblW w:w="0" w:type="auto"/>
        <w:tblInd w:w="0" w:type="dxa"/>
        <w:tblBorders>
          <w:top w:val="single" w:color="EAF2F8" w:sz="2" w:space="0"/>
          <w:left w:val="single" w:color="EAF2F8" w:sz="2" w:space="0"/>
          <w:bottom w:val="single" w:color="EAF2F8" w:sz="2" w:space="0"/>
          <w:right w:val="single" w:color="EAF2F8" w:sz="2" w:space="0"/>
          <w:insideH w:val="single" w:color="EAF2F8" w:sz="2" w:space="0"/>
          <w:insideV w:val="single" w:color="EAF2F8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792"/>
      </w:tblGrid>
      <w:tr w14:paraId="3500B6C0">
        <w:tblPrEx>
          <w:tblBorders>
            <w:top w:val="single" w:color="EAF2F8" w:sz="2" w:space="0"/>
            <w:left w:val="single" w:color="EAF2F8" w:sz="2" w:space="0"/>
            <w:bottom w:val="single" w:color="EAF2F8" w:sz="2" w:space="0"/>
            <w:right w:val="single" w:color="EAF2F8" w:sz="2" w:space="0"/>
            <w:insideH w:val="single" w:color="EAF2F8" w:sz="2" w:space="0"/>
            <w:insideV w:val="single" w:color="EAF2F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  <w:shd w:val="clear" w:color="auto" w:fill="EAF2F8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EF04945">
            <w:pPr>
              <w:spacing w:before="60" w:after="10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>V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  <w:vertAlign w:val="subscript"/>
              </w:rPr>
              <w:t>L,avg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 xml:space="preserve"> = 0</w:t>
            </w:r>
          </w:p>
        </w:tc>
        <w:tc>
          <w:tcPr>
            <w:tcW w:w="4677" w:type="dxa"/>
            <w:shd w:val="clear" w:color="auto" w:fill="EAF2F8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AF5557A">
            <w:pPr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52606D"/>
                <w:sz w:val="19"/>
              </w:rPr>
              <w:t>(2)</w:t>
            </w:r>
          </w:p>
        </w:tc>
      </w:tr>
    </w:tbl>
    <w:p w14:paraId="022D94E3">
      <w:pPr>
        <w:spacing w:after="0" w:line="36" w:lineRule="auto"/>
      </w:pPr>
    </w:p>
    <w:p w14:paraId="3CD94285">
      <w:pPr>
        <w:spacing w:before="60" w:after="100"/>
      </w:pPr>
      <w:r>
        <w:rPr>
          <w:rFonts w:ascii="Aptos" w:hAnsi="Aptos" w:eastAsia="Aptos"/>
          <w:b/>
          <w:i w:val="0"/>
          <w:color w:val="2F75B5"/>
          <w:sz w:val="23"/>
        </w:rPr>
        <w:t>2. Inductor voltage during each switching interval</w:t>
      </w:r>
    </w:p>
    <w:tbl>
      <w:tblPr>
        <w:tblStyle w:val="4"/>
        <w:tblW w:w="0" w:type="auto"/>
        <w:tblInd w:w="0" w:type="dxa"/>
        <w:tblBorders>
          <w:top w:val="single" w:color="B4C7E7" w:sz="6" w:space="0"/>
          <w:left w:val="single" w:color="B4C7E7" w:sz="6" w:space="0"/>
          <w:bottom w:val="single" w:color="B4C7E7" w:sz="6" w:space="0"/>
          <w:right w:val="single" w:color="B4C7E7" w:sz="6" w:space="0"/>
          <w:insideH w:val="single" w:color="B4C7E7" w:sz="6" w:space="0"/>
          <w:insideV w:val="single" w:color="B4C7E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800"/>
        <w:gridCol w:w="2232"/>
        <w:gridCol w:w="3240"/>
      </w:tblGrid>
      <w:tr w14:paraId="6F1BCF34">
        <w:tblPrEx>
          <w:tblBorders>
            <w:top w:val="single" w:color="B4C7E7" w:sz="6" w:space="0"/>
            <w:left w:val="single" w:color="B4C7E7" w:sz="6" w:space="0"/>
            <w:bottom w:val="single" w:color="B4C7E7" w:sz="6" w:space="0"/>
            <w:right w:val="single" w:color="B4C7E7" w:sz="6" w:space="0"/>
            <w:insideH w:val="single" w:color="B4C7E7" w:sz="6" w:space="0"/>
            <w:insideV w:val="single" w:color="B4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38" w:type="dxa"/>
            <w:shd w:val="clear" w:color="auto" w:fill="17365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751B18B"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Interval</w:t>
            </w:r>
          </w:p>
        </w:tc>
        <w:tc>
          <w:tcPr>
            <w:tcW w:w="2338" w:type="dxa"/>
            <w:shd w:val="clear" w:color="auto" w:fill="17365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D6D79E8"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Duration</w:t>
            </w:r>
          </w:p>
        </w:tc>
        <w:tc>
          <w:tcPr>
            <w:tcW w:w="2338" w:type="dxa"/>
            <w:shd w:val="clear" w:color="auto" w:fill="17365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2A954C3"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Inductor voltage</w:t>
            </w:r>
          </w:p>
        </w:tc>
        <w:tc>
          <w:tcPr>
            <w:tcW w:w="2338" w:type="dxa"/>
            <w:shd w:val="clear" w:color="auto" w:fill="17365D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5F168D5"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Volt-second contribution</w:t>
            </w:r>
          </w:p>
        </w:tc>
      </w:tr>
      <w:tr w14:paraId="0B69D29B">
        <w:tblPrEx>
          <w:tblBorders>
            <w:top w:val="single" w:color="B4C7E7" w:sz="6" w:space="0"/>
            <w:left w:val="single" w:color="B4C7E7" w:sz="6" w:space="0"/>
            <w:bottom w:val="single" w:color="B4C7E7" w:sz="6" w:space="0"/>
            <w:right w:val="single" w:color="B4C7E7" w:sz="6" w:space="0"/>
            <w:insideH w:val="single" w:color="B4C7E7" w:sz="6" w:space="0"/>
            <w:insideV w:val="single" w:color="B4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8" w:type="dxa"/>
            <w:shd w:val="clear" w:color="auto" w:fill="F7FAFC"/>
            <w:tcMar>
              <w:top w:w="125" w:type="dxa"/>
              <w:left w:w="130" w:type="dxa"/>
              <w:bottom w:w="125" w:type="dxa"/>
              <w:right w:w="130" w:type="dxa"/>
            </w:tcMar>
            <w:vAlign w:val="center"/>
          </w:tcPr>
          <w:p w14:paraId="70176654"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2933"/>
                <w:sz w:val="18"/>
              </w:rPr>
              <w:t>MOSFET ON</w:t>
            </w:r>
          </w:p>
        </w:tc>
        <w:tc>
          <w:tcPr>
            <w:tcW w:w="2338" w:type="dxa"/>
            <w:shd w:val="clear" w:color="auto" w:fill="F7FAFC"/>
            <w:tcMar>
              <w:top w:w="125" w:type="dxa"/>
              <w:left w:w="130" w:type="dxa"/>
              <w:bottom w:w="125" w:type="dxa"/>
              <w:right w:w="130" w:type="dxa"/>
            </w:tcMar>
            <w:vAlign w:val="center"/>
          </w:tcPr>
          <w:p w14:paraId="04D998CF">
            <w:pPr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18"/>
              </w:rPr>
              <w:t>DTₛ</w:t>
            </w:r>
          </w:p>
        </w:tc>
        <w:tc>
          <w:tcPr>
            <w:tcW w:w="2338" w:type="dxa"/>
            <w:shd w:val="clear" w:color="auto" w:fill="F7FAFC"/>
            <w:tcMar>
              <w:top w:w="125" w:type="dxa"/>
              <w:left w:w="130" w:type="dxa"/>
              <w:bottom w:w="125" w:type="dxa"/>
              <w:right w:w="130" w:type="dxa"/>
            </w:tcMar>
            <w:vAlign w:val="center"/>
          </w:tcPr>
          <w:p w14:paraId="4BD8397E">
            <w:pPr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18"/>
              </w:rPr>
              <w:t>Vᵢₙ</w:t>
            </w:r>
          </w:p>
        </w:tc>
        <w:tc>
          <w:tcPr>
            <w:tcW w:w="2338" w:type="dxa"/>
            <w:shd w:val="clear" w:color="auto" w:fill="F7FAFC"/>
            <w:tcMar>
              <w:top w:w="125" w:type="dxa"/>
              <w:left w:w="130" w:type="dxa"/>
              <w:bottom w:w="125" w:type="dxa"/>
              <w:right w:w="130" w:type="dxa"/>
            </w:tcMar>
            <w:vAlign w:val="center"/>
          </w:tcPr>
          <w:p w14:paraId="1466F69D">
            <w:pPr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18"/>
              </w:rPr>
              <w:t>Vᵢₙ · DTₛ</w:t>
            </w:r>
          </w:p>
        </w:tc>
      </w:tr>
      <w:tr w14:paraId="7EEE8B96">
        <w:tblPrEx>
          <w:tblBorders>
            <w:top w:val="single" w:color="B4C7E7" w:sz="6" w:space="0"/>
            <w:left w:val="single" w:color="B4C7E7" w:sz="6" w:space="0"/>
            <w:bottom w:val="single" w:color="B4C7E7" w:sz="6" w:space="0"/>
            <w:right w:val="single" w:color="B4C7E7" w:sz="6" w:space="0"/>
            <w:insideH w:val="single" w:color="B4C7E7" w:sz="6" w:space="0"/>
            <w:insideV w:val="single" w:color="B4C7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8" w:type="dxa"/>
            <w:shd w:val="clear" w:color="auto" w:fill="FFFFFF"/>
            <w:tcMar>
              <w:top w:w="125" w:type="dxa"/>
              <w:left w:w="130" w:type="dxa"/>
              <w:bottom w:w="125" w:type="dxa"/>
              <w:right w:w="130" w:type="dxa"/>
            </w:tcMar>
            <w:vAlign w:val="center"/>
          </w:tcPr>
          <w:p w14:paraId="321E2277"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F2933"/>
                <w:sz w:val="18"/>
              </w:rPr>
              <w:t>MOSFET OFF</w:t>
            </w:r>
          </w:p>
        </w:tc>
        <w:tc>
          <w:tcPr>
            <w:tcW w:w="2338" w:type="dxa"/>
            <w:shd w:val="clear" w:color="auto" w:fill="FFFFFF"/>
            <w:tcMar>
              <w:top w:w="125" w:type="dxa"/>
              <w:left w:w="130" w:type="dxa"/>
              <w:bottom w:w="125" w:type="dxa"/>
              <w:right w:w="130" w:type="dxa"/>
            </w:tcMar>
            <w:vAlign w:val="center"/>
          </w:tcPr>
          <w:p w14:paraId="490DA7C1">
            <w:pPr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18"/>
              </w:rPr>
              <w:t>(1 − D)Tₛ</w:t>
            </w:r>
          </w:p>
        </w:tc>
        <w:tc>
          <w:tcPr>
            <w:tcW w:w="2338" w:type="dxa"/>
            <w:shd w:val="clear" w:color="auto" w:fill="FFFFFF"/>
            <w:tcMar>
              <w:top w:w="125" w:type="dxa"/>
              <w:left w:w="130" w:type="dxa"/>
              <w:bottom w:w="125" w:type="dxa"/>
              <w:right w:w="130" w:type="dxa"/>
            </w:tcMar>
            <w:vAlign w:val="center"/>
          </w:tcPr>
          <w:p w14:paraId="57E04EFD">
            <w:pPr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18"/>
              </w:rPr>
              <w:t>Vᵢₙ − Vₒᵤₜ</w:t>
            </w:r>
          </w:p>
        </w:tc>
        <w:tc>
          <w:tcPr>
            <w:tcW w:w="2338" w:type="dxa"/>
            <w:shd w:val="clear" w:color="auto" w:fill="FFFFFF"/>
            <w:tcMar>
              <w:top w:w="125" w:type="dxa"/>
              <w:left w:w="130" w:type="dxa"/>
              <w:bottom w:w="125" w:type="dxa"/>
              <w:right w:w="130" w:type="dxa"/>
            </w:tcMar>
            <w:vAlign w:val="center"/>
          </w:tcPr>
          <w:p w14:paraId="711F80A3">
            <w:pPr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18"/>
              </w:rPr>
              <w:t>(Vᵢₙ − Vₒᵤₜ)(1 − D)Tₛ</w:t>
            </w:r>
          </w:p>
        </w:tc>
      </w:tr>
    </w:tbl>
    <w:p w14:paraId="05FD0A91">
      <w:pPr>
        <w:spacing w:after="20"/>
      </w:pPr>
    </w:p>
    <w:p w14:paraId="3B5D2C8E">
      <w:pPr>
        <w:spacing w:before="60" w:after="100"/>
      </w:pPr>
      <w:r>
        <w:rPr>
          <w:rFonts w:ascii="Aptos" w:hAnsi="Aptos" w:eastAsia="Aptos"/>
          <w:b/>
          <w:i w:val="0"/>
          <w:color w:val="2F75B5"/>
          <w:sz w:val="23"/>
        </w:rPr>
        <w:t>3. Apply volt-second balance</w:t>
      </w:r>
    </w:p>
    <w:tbl>
      <w:tblPr>
        <w:tblStyle w:val="4"/>
        <w:tblW w:w="0" w:type="auto"/>
        <w:tblInd w:w="0" w:type="dxa"/>
        <w:tblBorders>
          <w:top w:val="single" w:color="EAF2F8" w:sz="2" w:space="0"/>
          <w:left w:val="single" w:color="EAF2F8" w:sz="2" w:space="0"/>
          <w:bottom w:val="single" w:color="EAF2F8" w:sz="2" w:space="0"/>
          <w:right w:val="single" w:color="EAF2F8" w:sz="2" w:space="0"/>
          <w:insideH w:val="single" w:color="EAF2F8" w:sz="2" w:space="0"/>
          <w:insideV w:val="single" w:color="EAF2F8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792"/>
      </w:tblGrid>
      <w:tr w14:paraId="00BF2B03">
        <w:tblPrEx>
          <w:tblBorders>
            <w:top w:val="single" w:color="EAF2F8" w:sz="2" w:space="0"/>
            <w:left w:val="single" w:color="EAF2F8" w:sz="2" w:space="0"/>
            <w:bottom w:val="single" w:color="EAF2F8" w:sz="2" w:space="0"/>
            <w:right w:val="single" w:color="EAF2F8" w:sz="2" w:space="0"/>
            <w:insideH w:val="single" w:color="EAF2F8" w:sz="2" w:space="0"/>
            <w:insideV w:val="single" w:color="EAF2F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  <w:shd w:val="clear" w:color="auto" w:fill="EAF2F8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0F864753">
            <w:pPr>
              <w:spacing w:before="60" w:after="10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>V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  <w:vertAlign w:val="subscript"/>
              </w:rPr>
              <w:t>in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>DT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  <w:vertAlign w:val="subscript"/>
              </w:rPr>
              <w:t>s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 xml:space="preserve"> + (V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  <w:vertAlign w:val="subscript"/>
              </w:rPr>
              <w:t>in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 xml:space="preserve"> − V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  <w:vertAlign w:val="subscript"/>
              </w:rPr>
              <w:t>out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>)(1 − D)T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  <w:vertAlign w:val="subscript"/>
              </w:rPr>
              <w:t>s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 xml:space="preserve"> = 0</w:t>
            </w:r>
          </w:p>
        </w:tc>
        <w:tc>
          <w:tcPr>
            <w:tcW w:w="4677" w:type="dxa"/>
            <w:shd w:val="clear" w:color="auto" w:fill="EAF2F8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28337DA">
            <w:pPr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52606D"/>
                <w:sz w:val="19"/>
              </w:rPr>
              <w:t>(3)</w:t>
            </w:r>
          </w:p>
        </w:tc>
      </w:tr>
    </w:tbl>
    <w:p w14:paraId="75DD3C5B">
      <w:pPr>
        <w:spacing w:after="0" w:line="36" w:lineRule="auto"/>
      </w:pPr>
    </w:p>
    <w:tbl>
      <w:tblPr>
        <w:tblStyle w:val="4"/>
        <w:tblW w:w="0" w:type="auto"/>
        <w:tblInd w:w="0" w:type="dxa"/>
        <w:tblBorders>
          <w:top w:val="single" w:color="F2F6FA" w:sz="2" w:space="0"/>
          <w:left w:val="single" w:color="F2F6FA" w:sz="2" w:space="0"/>
          <w:bottom w:val="single" w:color="F2F6FA" w:sz="2" w:space="0"/>
          <w:right w:val="single" w:color="F2F6FA" w:sz="2" w:space="0"/>
          <w:insideH w:val="single" w:color="F2F6FA" w:sz="2" w:space="0"/>
          <w:insideV w:val="single" w:color="F2F6FA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792"/>
      </w:tblGrid>
      <w:tr w14:paraId="4D24CF65">
        <w:tblPrEx>
          <w:tblBorders>
            <w:top w:val="single" w:color="F2F6FA" w:sz="2" w:space="0"/>
            <w:left w:val="single" w:color="F2F6FA" w:sz="2" w:space="0"/>
            <w:bottom w:val="single" w:color="F2F6FA" w:sz="2" w:space="0"/>
            <w:right w:val="single" w:color="F2F6FA" w:sz="2" w:space="0"/>
            <w:insideH w:val="single" w:color="F2F6FA" w:sz="2" w:space="0"/>
            <w:insideV w:val="single" w:color="F2F6FA" w:sz="2" w:space="0"/>
          </w:tblBorders>
        </w:tblPrEx>
        <w:tc>
          <w:tcPr>
            <w:tcW w:w="4677" w:type="dxa"/>
            <w:shd w:val="clear" w:color="auto" w:fill="F2F6F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AC5564B">
            <w:pPr>
              <w:spacing w:before="60" w:after="10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>V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  <w:vertAlign w:val="subscript"/>
              </w:rPr>
              <w:t>out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 xml:space="preserve"> = V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  <w:vertAlign w:val="subscript"/>
              </w:rPr>
              <w:t>in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>/(1 − D)</w:t>
            </w:r>
          </w:p>
        </w:tc>
        <w:tc>
          <w:tcPr>
            <w:tcW w:w="4677" w:type="dxa"/>
            <w:shd w:val="clear" w:color="auto" w:fill="F2F6F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755D85E">
            <w:pPr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52606D"/>
                <w:sz w:val="19"/>
              </w:rPr>
              <w:t>(4)</w:t>
            </w:r>
          </w:p>
        </w:tc>
      </w:tr>
    </w:tbl>
    <w:p w14:paraId="0BE4C4F3">
      <w:pPr>
        <w:spacing w:after="0" w:line="36" w:lineRule="auto"/>
      </w:pPr>
    </w:p>
    <w:tbl>
      <w:tblPr>
        <w:tblStyle w:val="4"/>
        <w:tblW w:w="0" w:type="auto"/>
        <w:tblInd w:w="0" w:type="dxa"/>
        <w:tblBorders>
          <w:top w:val="single" w:color="FFF4D6" w:sz="2" w:space="0"/>
          <w:left w:val="single" w:color="FFF4D6" w:sz="2" w:space="0"/>
          <w:bottom w:val="single" w:color="FFF4D6" w:sz="2" w:space="0"/>
          <w:right w:val="single" w:color="FFF4D6" w:sz="2" w:space="0"/>
          <w:insideH w:val="single" w:color="FFF4D6" w:sz="2" w:space="0"/>
          <w:insideV w:val="single" w:color="FFF4D6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  <w:gridCol w:w="792"/>
      </w:tblGrid>
      <w:tr w14:paraId="732FC220">
        <w:tblPrEx>
          <w:tblBorders>
            <w:top w:val="single" w:color="FFF4D6" w:sz="2" w:space="0"/>
            <w:left w:val="single" w:color="FFF4D6" w:sz="2" w:space="0"/>
            <w:bottom w:val="single" w:color="FFF4D6" w:sz="2" w:space="0"/>
            <w:right w:val="single" w:color="FFF4D6" w:sz="2" w:space="0"/>
            <w:insideH w:val="single" w:color="FFF4D6" w:sz="2" w:space="0"/>
            <w:insideV w:val="single" w:color="FFF4D6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  <w:shd w:val="clear" w:color="auto" w:fill="FFF4D6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0B87BAF9">
            <w:pPr>
              <w:spacing w:before="60" w:after="10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>D = 1 − V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  <w:vertAlign w:val="subscript"/>
              </w:rPr>
              <w:t>in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</w:rPr>
              <w:t>/V</w:t>
            </w:r>
            <w:r>
              <w:rPr>
                <w:rFonts w:ascii="Cambria Math" w:hAnsi="Cambria Math" w:eastAsia="Cambria Math"/>
                <w:b w:val="0"/>
                <w:i w:val="0"/>
                <w:color w:val="1F2933"/>
                <w:sz w:val="22"/>
                <w:vertAlign w:val="subscript"/>
              </w:rPr>
              <w:t>out</w:t>
            </w:r>
          </w:p>
        </w:tc>
        <w:tc>
          <w:tcPr>
            <w:tcW w:w="4677" w:type="dxa"/>
            <w:shd w:val="clear" w:color="auto" w:fill="FFF4D6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3531ADD">
            <w:pPr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52606D"/>
                <w:sz w:val="19"/>
              </w:rPr>
              <w:t>(5)</w:t>
            </w:r>
          </w:p>
        </w:tc>
      </w:tr>
    </w:tbl>
    <w:p w14:paraId="6C309BAA">
      <w:pPr>
        <w:spacing w:after="0" w:line="36" w:lineRule="auto"/>
      </w:pPr>
    </w:p>
    <w:p w14:paraId="54B5C2B4">
      <w:pPr>
        <w:keepNext/>
        <w:widowControl/>
        <w:spacing w:before="20" w:after="40"/>
      </w:pPr>
      <w:r>
        <w:rPr>
          <w:rFonts w:ascii="Aptos" w:hAnsi="Aptos" w:eastAsia="Aptos"/>
          <w:b/>
          <w:i w:val="0"/>
          <w:color w:val="2F75B5"/>
          <w:sz w:val="23"/>
        </w:rPr>
        <w:t>4. Numerical duty-cycle range</w:t>
      </w:r>
    </w:p>
    <w:p w14:paraId="556B95BF">
      <w:pPr>
        <w:keepNext/>
        <w:widowControl/>
        <w:spacing w:after="40" w:before="20"/>
      </w:pPr>
      <w:r>
        <w:rPr>
          <w:rFonts w:ascii="Aptos" w:hAnsi="Aptos" w:eastAsia="Aptos"/>
          <w:b w:val="0"/>
          <w:i w:val="0"/>
          <w:color w:val="1F2933"/>
          <w:sz w:val="19"/>
        </w:rPr>
        <w:t xml:space="preserve">For </w:t>
      </w:r>
      <w:r>
        <w:rPr>
          <w:rFonts w:ascii="Cambria Math" w:hAnsi="Cambria Math" w:eastAsia="Cambria Math"/>
          <w:b w:val="0"/>
          <w:i w:val="0"/>
          <w:color w:val="1F2933"/>
          <w:sz w:val="19"/>
        </w:rPr>
        <w:t>V</w:t>
      </w:r>
      <w:r>
        <w:rPr>
          <w:rFonts w:ascii="Cambria Math" w:hAnsi="Cambria Math" w:eastAsia="Cambria Math"/>
          <w:b w:val="0"/>
          <w:i w:val="0"/>
          <w:color w:val="1F2933"/>
          <w:sz w:val="19"/>
          <w:vertAlign w:val="subscript"/>
        </w:rPr>
        <w:t>in</w:t>
      </w:r>
      <w:r>
        <w:rPr>
          <w:rFonts w:ascii="Cambria Math" w:hAnsi="Cambria Math" w:eastAsia="Cambria Math"/>
          <w:b w:val="0"/>
          <w:i w:val="0"/>
          <w:color w:val="1F2933"/>
          <w:sz w:val="19"/>
        </w:rPr>
        <w:t xml:space="preserve"> = 2.5–3.5 V, V</w:t>
      </w:r>
      <w:r>
        <w:rPr>
          <w:rFonts w:ascii="Cambria Math" w:hAnsi="Cambria Math" w:eastAsia="Cambria Math"/>
          <w:b w:val="0"/>
          <w:i w:val="0"/>
          <w:color w:val="1F2933"/>
          <w:sz w:val="19"/>
          <w:vertAlign w:val="subscript"/>
        </w:rPr>
        <w:t>out</w:t>
      </w:r>
      <w:r>
        <w:rPr>
          <w:rFonts w:ascii="Cambria Math" w:hAnsi="Cambria Math" w:eastAsia="Cambria Math"/>
          <w:b w:val="0"/>
          <w:i w:val="0"/>
          <w:color w:val="1F2933"/>
          <w:sz w:val="19"/>
        </w:rPr>
        <w:t xml:space="preserve"> = 5 V:</w:t>
      </w:r>
    </w:p>
    <w:tbl>
      <w:tblPr>
        <w:tblStyle w:val="4"/>
        <w:tblW w:w="0" w:type="auto"/>
        <w:tblInd w:w="0" w:type="dxa"/>
        <w:tblBorders>
          <w:top w:val="single" w:color="E6B800" w:sz="8" w:space="0"/>
          <w:left w:val="single" w:color="E6B800" w:sz="8" w:space="0"/>
          <w:bottom w:val="single" w:color="E6B800" w:sz="8" w:space="0"/>
          <w:right w:val="single" w:color="E6B800" w:sz="8" w:space="0"/>
          <w:insideH w:val="single" w:color="E6B800" w:sz="8" w:space="0"/>
          <w:insideV w:val="single" w:color="E6B8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3168"/>
        <w:gridCol w:w="2592"/>
      </w:tblGrid>
      <w:tr w14:paraId="529C4C50">
        <w:tblPrEx>
          <w:tblBorders>
            <w:top w:val="single" w:color="E6B800" w:sz="8" w:space="0"/>
            <w:left w:val="single" w:color="E6B800" w:sz="8" w:space="0"/>
            <w:bottom w:val="single" w:color="E6B800" w:sz="8" w:space="0"/>
            <w:right w:val="single" w:color="E6B800" w:sz="8" w:space="0"/>
            <w:insideH w:val="single" w:color="E6B800" w:sz="8" w:space="0"/>
            <w:insideV w:val="single" w:color="E6B8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 w:val="true"/>
        </w:trPr>
        <w:tc>
          <w:tcPr>
            <w:tcW w:w="3118" w:type="dxa"/>
            <w:shd w:val="clear" w:color="auto" w:fill="FFF4D6"/>
            <w:tcMar>
              <w:top w:w="55" w:type="dxa"/>
              <w:left w:w="110" w:type="dxa"/>
              <w:bottom w:w="55" w:type="dxa"/>
              <w:right w:w="110" w:type="dxa"/>
              <w:start w:w="80" w:type="dxa"/>
              <w:end w:w="80" w:type="dxa"/>
            </w:tcMar>
            <w:vAlign w:val="center"/>
          </w:tcPr>
          <w:p w14:paraId="44515BFE">
            <w:pPr>
              <w:keepNext w:val="0"/>
              <w:spacing w:before="0" w:after="0" w:line="228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Input condition</w:t>
            </w:r>
          </w:p>
        </w:tc>
        <w:tc>
          <w:tcPr>
            <w:tcW w:w="3118" w:type="dxa"/>
            <w:shd w:val="clear" w:color="auto" w:fill="FFF4D6"/>
            <w:tcMar>
              <w:top w:w="55" w:type="dxa"/>
              <w:left w:w="110" w:type="dxa"/>
              <w:bottom w:w="55" w:type="dxa"/>
              <w:right w:w="110" w:type="dxa"/>
              <w:start w:w="80" w:type="dxa"/>
              <w:end w:w="80" w:type="dxa"/>
            </w:tcMar>
            <w:vAlign w:val="center"/>
          </w:tcPr>
          <w:p w14:paraId="074E848E">
            <w:pPr>
              <w:keepNext w:val="0"/>
              <w:spacing w:before="0" w:after="0" w:line="228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w="3118" w:type="dxa"/>
            <w:shd w:val="clear" w:color="auto" w:fill="FFF4D6"/>
            <w:tcMar>
              <w:top w:w="55" w:type="dxa"/>
              <w:left w:w="110" w:type="dxa"/>
              <w:bottom w:w="55" w:type="dxa"/>
              <w:right w:w="110" w:type="dxa"/>
              <w:start w:w="80" w:type="dxa"/>
              <w:end w:w="80" w:type="dxa"/>
            </w:tcMar>
            <w:vAlign w:val="center"/>
          </w:tcPr>
          <w:p w14:paraId="3EF3E4C8">
            <w:pPr>
              <w:keepNext w:val="0"/>
              <w:spacing w:before="0" w:after="0" w:line="228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Duty cycle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keepNext w:val="0"/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C34"/>
                <w:sz w:val="15"/>
              </w:rPr>
              <w:t>Vᵢₙ = 2.5 V</w:t>
            </w:r>
          </w:p>
        </w:tc>
        <w:tc>
          <w:tcPr>
            <w:tcW w:type="dxa" w:w="3168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keepNext w:val="0"/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C34"/>
                <w:sz w:val="15"/>
              </w:rPr>
              <w:t>1 − 2.5/5</w:t>
            </w:r>
          </w:p>
        </w:tc>
        <w:tc>
          <w:tcPr>
            <w:tcW w:type="dxa" w:w="2592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keepNext w:val="0"/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C34"/>
                <w:sz w:val="15"/>
              </w:rPr>
              <w:t>50%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keepNext w:val="0"/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C34"/>
                <w:sz w:val="15"/>
              </w:rPr>
              <w:t>Vᵢₙ = 3.5 V</w:t>
            </w:r>
          </w:p>
        </w:tc>
        <w:tc>
          <w:tcPr>
            <w:tcW w:type="dxa" w:w="3168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keepNext w:val="0"/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C34"/>
                <w:sz w:val="15"/>
              </w:rPr>
              <w:t>1 − 3.5/5</w:t>
            </w:r>
          </w:p>
        </w:tc>
        <w:tc>
          <w:tcPr>
            <w:tcW w:type="dxa" w:w="2592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keepNext w:val="0"/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C34"/>
                <w:sz w:val="15"/>
              </w:rPr>
              <w:t>30%</w:t>
            </w:r>
          </w:p>
        </w:tc>
      </w:tr>
    </w:tbl>
    <w:p w14:paraId="3010C077">
      <w:pPr>
        <w:widowControl/>
        <w:spacing w:before="20" w:after="40"/>
        <w:jc w:val="center"/>
        <w:rPr>
          <w:rFonts w:ascii="Cambria Math" w:hAnsi="Cambria Math" w:eastAsia="Cambria Math"/>
          <w:b/>
          <w:i w:val="0"/>
          <w:color w:val="17365D"/>
          <w:sz w:val="22"/>
        </w:rPr>
      </w:pPr>
      <w:r>
        <w:rPr>
          <w:rFonts w:ascii="Cambria Math" w:hAnsi="Cambria Math" w:eastAsia="Cambria Math"/>
          <w:b/>
          <w:i w:val="0"/>
          <w:color w:val="17365D"/>
          <w:sz w:val="22"/>
        </w:rPr>
        <w:t>Required ideal duty-cycle range:  30% ≤ D ≤ 50%</w:t>
      </w:r>
    </w:p>
    <w:p>
      <w:pPr>
        <w:keepNext/>
        <w:widowControl/>
        <w:spacing w:before="100" w:after="60" w:line="240" w:lineRule="auto"/>
      </w:pPr>
      <w:r>
        <w:rPr>
          <w:rFonts w:ascii="Aptos" w:hAnsi="Aptos"/>
          <w:b/>
          <w:i w:val="0"/>
          <w:color w:val="1F5F99"/>
          <w:sz w:val="21"/>
        </w:rPr>
        <w:t>5. Output-current range</w:t>
      </w:r>
    </w:p>
    <w:p>
      <w:pPr>
        <w:keepNext w:val="0"/>
        <w:widowControl/>
        <w:spacing w:before="0" w:after="60" w:line="240" w:lineRule="auto"/>
      </w:pPr>
      <w:r>
        <w:rPr>
          <w:rFonts w:ascii="Aptos" w:hAnsi="Aptos"/>
          <w:b w:val="0"/>
          <w:i w:val="0"/>
          <w:color w:val="232C34"/>
          <w:sz w:val="18"/>
        </w:rPr>
        <w:t xml:space="preserve">From the specified output-power range, </w:t>
      </w:r>
      <w:r>
        <w:rPr>
          <w:rFonts w:ascii="Aptos" w:hAnsi="Aptos"/>
          <w:b/>
          <w:i w:val="0"/>
          <w:color w:val="232C34"/>
          <w:sz w:val="18"/>
        </w:rPr>
        <w:t>Pₒ = 0.5–5 W</w:t>
      </w:r>
      <w:r>
        <w:rPr>
          <w:rFonts w:ascii="Aptos" w:hAnsi="Aptos"/>
          <w:b w:val="0"/>
          <w:i w:val="0"/>
          <w:color w:val="232C34"/>
          <w:sz w:val="18"/>
        </w:rPr>
        <w:t xml:space="preserve">, at </w:t>
      </w:r>
      <w:r>
        <w:rPr>
          <w:rFonts w:ascii="Aptos" w:hAnsi="Aptos"/>
          <w:b/>
          <w:i w:val="0"/>
          <w:color w:val="232C34"/>
          <w:sz w:val="18"/>
        </w:rPr>
        <w:t>Vₒ = 5 V</w:t>
      </w:r>
      <w:r>
        <w:rPr>
          <w:rFonts w:ascii="Aptos" w:hAnsi="Aptos"/>
          <w:b w:val="0"/>
          <w:i w:val="0"/>
          <w:color w:val="232C34"/>
          <w:sz w:val="18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AF2F8"/>
          <w:left w:val="single" w:sz="0" w:color="EAF2F8"/>
          <w:bottom w:val="single" w:sz="0" w:color="EAF2F8"/>
          <w:right w:val="single" w:sz="0" w:color="EAF2F8"/>
          <w:insideH w:val="single" w:sz="0" w:color="EAF2F8"/>
          <w:insideV w:val="single" w:sz="0" w:color="EAF2F8"/>
        </w:tblBorders>
      </w:tblPr>
      <w:tblGrid>
        <w:gridCol w:w="8424"/>
        <w:gridCol w:w="504"/>
      </w:tblGrid>
      <w:tr>
        <w:tc>
          <w:tcPr>
            <w:tcW w:type="dxa" w:w="8424"/>
            <w:shd w:fill="EAF2F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mbria Math" w:hAnsi="Cambria Math"/>
                <w:b w:val="0"/>
                <w:i w:val="0"/>
                <w:color w:val="232C34"/>
                <w:sz w:val="19"/>
              </w:rPr>
              <w:t>Iₒ = Pₒ/Vₒ  ⟹  Iₒ,min = 0.5/5 = 0.10 A;   Iₒ,max = 5/5 = 1.00 A</w:t>
            </w:r>
          </w:p>
        </w:tc>
        <w:tc>
          <w:tcPr>
            <w:tcW w:type="dxa" w:w="504"/>
            <w:shd w:fill="EAF2F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right"/>
            </w:pPr>
            <w:r>
              <w:rPr>
                <w:rFonts w:ascii="Aptos" w:hAnsi="Aptos"/>
                <w:b w:val="0"/>
                <w:i w:val="0"/>
                <w:color w:val="646E78"/>
                <w:sz w:val="16"/>
              </w:rPr>
              <w:t>(6)</w:t>
            </w:r>
          </w:p>
        </w:tc>
      </w:tr>
    </w:tbl>
    <w:p>
      <w:pPr>
        <w:keepNext w:val="0"/>
        <w:spacing w:before="0" w:after="20" w:line="240" w:lineRule="auto"/>
      </w:pPr>
    </w:p>
    <w:p>
      <w:pPr>
        <w:keepNext/>
        <w:widowControl/>
        <w:spacing w:before="100" w:after="60" w:line="240" w:lineRule="auto"/>
      </w:pPr>
      <w:r>
        <w:rPr>
          <w:rFonts w:ascii="Aptos" w:hAnsi="Aptos"/>
          <w:b/>
          <w:i w:val="0"/>
          <w:color w:val="1F5F99"/>
          <w:sz w:val="21"/>
        </w:rPr>
        <w:t>6. Inductor selection for CCM</w:t>
      </w:r>
    </w:p>
    <w:p>
      <w:pPr>
        <w:keepNext w:val="0"/>
        <w:widowControl/>
        <w:spacing w:before="0" w:after="60" w:line="240" w:lineRule="auto"/>
      </w:pPr>
      <w:r>
        <w:rPr>
          <w:rFonts w:ascii="Aptos" w:hAnsi="Aptos"/>
          <w:b w:val="0"/>
          <w:i w:val="0"/>
          <w:color w:val="232C34"/>
          <w:sz w:val="17"/>
        </w:rPr>
        <w:t>The preliminary value is selected so the ideal converter remains in continuous-conduction mode at the minimum specified load. During the MOSFET ON interval: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AF2F8"/>
          <w:left w:val="single" w:sz="0" w:color="EAF2F8"/>
          <w:bottom w:val="single" w:sz="0" w:color="EAF2F8"/>
          <w:right w:val="single" w:sz="0" w:color="EAF2F8"/>
          <w:insideH w:val="single" w:sz="0" w:color="EAF2F8"/>
          <w:insideV w:val="single" w:sz="0" w:color="EAF2F8"/>
        </w:tblBorders>
      </w:tblPr>
      <w:tblGrid>
        <w:gridCol w:w="8424"/>
        <w:gridCol w:w="504"/>
      </w:tblGrid>
      <w:tr>
        <w:tc>
          <w:tcPr>
            <w:tcW w:type="dxa" w:w="8424"/>
            <w:shd w:fill="EAF2F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mbria Math" w:hAnsi="Cambria Math"/>
                <w:b w:val="0"/>
                <w:i w:val="0"/>
                <w:color w:val="232C34"/>
                <w:sz w:val="19"/>
              </w:rPr>
              <w:t>ΔIₗ = VᵢₙDTₛ/L = VᵢₙD/(Lfₛ)</w:t>
            </w:r>
          </w:p>
        </w:tc>
        <w:tc>
          <w:tcPr>
            <w:tcW w:type="dxa" w:w="504"/>
            <w:shd w:fill="EAF2F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right"/>
            </w:pPr>
            <w:r>
              <w:rPr>
                <w:rFonts w:ascii="Aptos" w:hAnsi="Aptos"/>
                <w:b w:val="0"/>
                <w:i w:val="0"/>
                <w:color w:val="646E78"/>
                <w:sz w:val="16"/>
              </w:rPr>
              <w:t>(7)</w:t>
            </w:r>
          </w:p>
        </w:tc>
      </w:tr>
    </w:tbl>
    <w:p>
      <w:pPr>
        <w:keepNext w:val="0"/>
        <w:spacing w:before="0" w:after="20" w:line="240" w:lineRule="auto"/>
      </w:pPr>
    </w:p>
    <w:p>
      <w:pPr>
        <w:keepNext w:val="0"/>
        <w:widowControl/>
        <w:spacing w:before="0" w:after="60" w:line="240" w:lineRule="auto"/>
      </w:pPr>
      <w:r>
        <w:rPr>
          <w:rFonts w:ascii="Aptos" w:hAnsi="Aptos"/>
          <w:b w:val="0"/>
          <w:i w:val="0"/>
          <w:color w:val="232C34"/>
          <w:sz w:val="17"/>
        </w:rPr>
        <w:t>At the CCM/DCM boundary, the minimum inductor current is zero, so ΔIₗ = 2Iₗ,avg. For an ideal boost converter, Iₗ,avg = Pₒ/Vᵢₙ. Therefore: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AF2F8"/>
          <w:left w:val="single" w:sz="0" w:color="EAF2F8"/>
          <w:bottom w:val="single" w:sz="0" w:color="EAF2F8"/>
          <w:right w:val="single" w:sz="0" w:color="EAF2F8"/>
          <w:insideH w:val="single" w:sz="0" w:color="EAF2F8"/>
          <w:insideV w:val="single" w:sz="0" w:color="EAF2F8"/>
        </w:tblBorders>
      </w:tblPr>
      <w:tblGrid>
        <w:gridCol w:w="8424"/>
        <w:gridCol w:w="504"/>
      </w:tblGrid>
      <w:tr>
        <w:tc>
          <w:tcPr>
            <w:tcW w:type="dxa" w:w="8424"/>
            <w:shd w:fill="EAF2F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mbria Math" w:hAnsi="Cambria Math"/>
                <w:b w:val="0"/>
                <w:i w:val="0"/>
                <w:color w:val="232C34"/>
                <w:sz w:val="19"/>
              </w:rPr>
              <w:t>Lcrit = VᵢₙD/(2fₛIₗ,avg) = Vᵢₙ²(1 − Vᵢₙ/Vₒ)/(2fₛPₒ)</w:t>
            </w:r>
          </w:p>
        </w:tc>
        <w:tc>
          <w:tcPr>
            <w:tcW w:type="dxa" w:w="504"/>
            <w:shd w:fill="EAF2F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right"/>
            </w:pPr>
            <w:r>
              <w:rPr>
                <w:rFonts w:ascii="Aptos" w:hAnsi="Aptos"/>
                <w:b w:val="0"/>
                <w:i w:val="0"/>
                <w:color w:val="646E78"/>
                <w:sz w:val="16"/>
              </w:rPr>
              <w:t>(8)</w:t>
            </w:r>
          </w:p>
        </w:tc>
      </w:tr>
    </w:tbl>
    <w:p>
      <w:pPr>
        <w:keepNext w:val="0"/>
        <w:spacing w:before="0" w:after="20" w:line="240" w:lineRule="auto"/>
      </w:pPr>
    </w:p>
    <w:p>
      <w:pPr>
        <w:keepNext w:val="0"/>
        <w:widowControl/>
        <w:spacing w:before="0" w:after="40" w:line="240" w:lineRule="auto"/>
      </w:pPr>
      <w:r>
        <w:rPr>
          <w:rFonts w:ascii="Aptos" w:hAnsi="Aptos"/>
          <w:b/>
          <w:i w:val="0"/>
          <w:color w:val="232C34"/>
          <w:sz w:val="17"/>
        </w:rPr>
        <w:t>Worst-case check over the full input range.</w:t>
      </w:r>
      <w:r>
        <w:rPr>
          <w:rFonts w:ascii="Aptos" w:hAnsi="Aptos"/>
          <w:b w:val="0"/>
          <w:i w:val="0"/>
          <w:color w:val="232C34"/>
          <w:sz w:val="17"/>
        </w:rPr>
        <w:t xml:space="preserve"> Use Pₒ,min = 0.5 W, Vₒ = 5 V and fₛ = 100 kHz. Maximising Lcrit(Vᵢₙ) gives Vᵢₙ = 2Vₒ/3 = 3.33 V, which lies inside 2.5–3.5 V: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4D6"/>
          <w:left w:val="single" w:sz="0" w:color="FFF4D6"/>
          <w:bottom w:val="single" w:sz="0" w:color="FFF4D6"/>
          <w:right w:val="single" w:sz="0" w:color="FFF4D6"/>
          <w:insideH w:val="single" w:sz="0" w:color="FFF4D6"/>
          <w:insideV w:val="single" w:sz="0" w:color="FFF4D6"/>
        </w:tblBorders>
      </w:tblPr>
      <w:tblGrid>
        <w:gridCol w:w="8424"/>
        <w:gridCol w:w="504"/>
      </w:tblGrid>
      <w:tr>
        <w:tc>
          <w:tcPr>
            <w:tcW w:type="dxa" w:w="8424"/>
            <w:shd w:fill="FFF4D6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mbria Math" w:hAnsi="Cambria Math"/>
                <w:b w:val="0"/>
                <w:i w:val="0"/>
                <w:color w:val="232C34"/>
                <w:sz w:val="19"/>
              </w:rPr>
              <w:t>Lcrit,max = (3.33 V)²(1 − 3.33/5)/(2 × 100 kHz × 0.5 W) = 37.0 μH</w:t>
            </w:r>
          </w:p>
        </w:tc>
        <w:tc>
          <w:tcPr>
            <w:tcW w:type="dxa" w:w="504"/>
            <w:shd w:fill="FFF4D6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right"/>
            </w:pPr>
            <w:r>
              <w:rPr>
                <w:rFonts w:ascii="Aptos" w:hAnsi="Aptos"/>
                <w:b w:val="0"/>
                <w:i w:val="0"/>
                <w:color w:val="646E78"/>
                <w:sz w:val="16"/>
              </w:rPr>
              <w:t>(9)</w:t>
            </w:r>
          </w:p>
        </w:tc>
      </w:tr>
    </w:tbl>
    <w:p>
      <w:pPr>
        <w:keepNext w:val="0"/>
        <w:spacing w:before="0" w:after="2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9C4DD"/>
          <w:left w:val="single" w:sz="5" w:color="A9C4DD"/>
          <w:bottom w:val="single" w:sz="5" w:color="A9C4DD"/>
          <w:right w:val="single" w:sz="5" w:color="A9C4DD"/>
          <w:insideH w:val="single" w:sz="5" w:color="A9C4DD"/>
          <w:insideV w:val="single" w:sz="5" w:color="A9C4DD"/>
        </w:tblBorders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338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Design input</w:t>
            </w:r>
          </w:p>
        </w:tc>
        <w:tc>
          <w:tcPr>
            <w:tcW w:type="dxa" w:w="554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Value used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color w:val="232C34"/>
                <w:sz w:val="16"/>
              </w:rPr>
              <w:t>Minimum theoretical value for CCM</w:t>
            </w:r>
          </w:p>
        </w:tc>
        <w:tc>
          <w:tcPr>
            <w:tcW w:type="dxa" w:w="554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C34"/>
                <w:sz w:val="16"/>
              </w:rPr>
              <w:t>L &gt; 37.0 μH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color w:val="232C34"/>
                <w:sz w:val="16"/>
              </w:rPr>
              <w:t>Selected standard value</w:t>
            </w:r>
          </w:p>
        </w:tc>
        <w:tc>
          <w:tcPr>
            <w:tcW w:type="dxa" w:w="554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232C34"/>
                <w:sz w:val="16"/>
              </w:rPr>
              <w:t>L = 47 μH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color w:val="232C34"/>
                <w:sz w:val="16"/>
              </w:rPr>
              <w:t>Inductor current at 0.5 W, 3.33 V</w:t>
            </w:r>
          </w:p>
        </w:tc>
        <w:tc>
          <w:tcPr>
            <w:tcW w:type="dxa" w:w="554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C34"/>
                <w:sz w:val="16"/>
              </w:rPr>
              <w:t>Iₗ,avg = 0.150 A;  ΔIₗ = 0.236 A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 w:val="0"/>
                <w:i w:val="0"/>
                <w:color w:val="232C34"/>
                <w:sz w:val="16"/>
              </w:rPr>
              <w:t>Minimum inductor current</w:t>
            </w:r>
          </w:p>
        </w:tc>
        <w:tc>
          <w:tcPr>
            <w:tcW w:type="dxa" w:w="5544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F6F9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C34"/>
                <w:sz w:val="16"/>
              </w:rPr>
              <w:t>Iₗ,min = 0.150 − 0.236/2 = 0.032 A &gt; 0</w:t>
            </w:r>
          </w:p>
        </w:tc>
      </w:tr>
    </w:tbl>
    <w:p>
      <w:pPr>
        <w:keepNext/>
        <w:widowControl/>
        <w:spacing w:before="100" w:after="60" w:line="240" w:lineRule="auto"/>
      </w:pPr>
      <w:r>
        <w:rPr>
          <w:rFonts w:ascii="Aptos" w:hAnsi="Aptos"/>
          <w:b/>
          <w:i w:val="0"/>
          <w:color w:val="1F5F99"/>
          <w:sz w:val="21"/>
        </w:rPr>
        <w:t>7. Preliminary current-rating check</w:t>
      </w:r>
    </w:p>
    <w:p>
      <w:pPr>
        <w:keepNext w:val="0"/>
        <w:widowControl/>
        <w:spacing w:before="0" w:after="40" w:line="240" w:lineRule="auto"/>
      </w:pPr>
      <w:r>
        <w:rPr>
          <w:rFonts w:ascii="Aptos" w:hAnsi="Aptos"/>
          <w:b w:val="0"/>
          <w:i w:val="0"/>
          <w:color w:val="232C34"/>
          <w:sz w:val="17"/>
        </w:rPr>
        <w:t>At maximum power and minimum input voltage, the ideal peak current 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AF2F8"/>
          <w:left w:val="single" w:sz="0" w:color="EAF2F8"/>
          <w:bottom w:val="single" w:sz="0" w:color="EAF2F8"/>
          <w:right w:val="single" w:sz="0" w:color="EAF2F8"/>
          <w:insideH w:val="single" w:sz="0" w:color="EAF2F8"/>
          <w:insideV w:val="single" w:sz="0" w:color="EAF2F8"/>
        </w:tblBorders>
      </w:tblPr>
      <w:tblGrid>
        <w:gridCol w:w="8424"/>
        <w:gridCol w:w="504"/>
      </w:tblGrid>
      <w:tr>
        <w:tc>
          <w:tcPr>
            <w:tcW w:type="dxa" w:w="8424"/>
            <w:shd w:fill="EAF2F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mbria Math" w:hAnsi="Cambria Math"/>
                <w:b w:val="0"/>
                <w:i w:val="0"/>
                <w:color w:val="232C34"/>
                <w:sz w:val="19"/>
              </w:rPr>
              <w:t>Iₗ,peak = Pₒ,max/Vᵢₙ,min + ΔIₗ/2 = 5/2.5 + 0.266/2 = 2.13 A</w:t>
            </w:r>
          </w:p>
        </w:tc>
        <w:tc>
          <w:tcPr>
            <w:tcW w:type="dxa" w:w="504"/>
            <w:shd w:fill="EAF2F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right"/>
            </w:pPr>
            <w:r>
              <w:rPr>
                <w:rFonts w:ascii="Aptos" w:hAnsi="Aptos"/>
                <w:b w:val="0"/>
                <w:i w:val="0"/>
                <w:color w:val="646E78"/>
                <w:sz w:val="16"/>
              </w:rPr>
              <w:t>(10)</w:t>
            </w:r>
          </w:p>
        </w:tc>
      </w:tr>
    </w:tbl>
    <w:p>
      <w:pPr>
        <w:keepNext w:val="0"/>
        <w:spacing w:before="0" w:after="20" w:line="240" w:lineRule="auto"/>
      </w:pPr>
    </w:p>
    <w:p>
      <w:pPr>
        <w:keepNext w:val="0"/>
        <w:spacing w:before="0" w:after="0" w:line="240" w:lineRule="auto"/>
      </w:pPr>
      <w:r>
        <w:rPr>
          <w:rFonts w:ascii="Aptos" w:hAnsi="Aptos"/>
          <w:b/>
          <w:i w:val="0"/>
          <w:color w:val="1F5F99"/>
          <w:sz w:val="17"/>
        </w:rPr>
        <w:t xml:space="preserve">Component recommendation. </w:t>
      </w:r>
      <w:r>
        <w:rPr>
          <w:rFonts w:ascii="Aptos" w:hAnsi="Aptos"/>
          <w:b w:val="0"/>
          <w:i w:val="0"/>
          <w:color w:val="232C34"/>
          <w:sz w:val="17"/>
        </w:rPr>
        <w:t>Use a 47 μH inductor with low DCR, RMS-current rating ≥ 2.5 A, and saturation-current rating ≥ 3 A. These margins allow for converter losses and component tolerances; the final ratings must be verified using the simulated and measured peak current.</w:t>
      </w:r>
    </w:p>
    <w:sectPr>
      <w:pgSz w:w="11906" w:h="16838"/>
      <w:pgMar w:top="680" w:right="1276" w:bottom="680" w:left="1276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8C3E9A"/>
    <w:multiLevelType w:val="singleLevel"/>
    <w:tmpl w:val="FD8C3E9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5D1713"/>
    <w:rsid w:val="097149BE"/>
    <w:rsid w:val="14770A82"/>
    <w:rsid w:val="624756E5"/>
    <w:rsid w:val="645D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00" w:line="259" w:lineRule="auto"/>
      <w:jc w:val="both"/>
    </w:pPr>
    <w:rPr>
      <w:rFonts w:asciiTheme="minorHAnsi" w:hAnsiTheme="minorHAnsi" w:eastAsiaTheme="minorEastAsia" w:cstheme="minorBidi"/>
      <w:color w:val="1F2933"/>
      <w:kern w:val="2"/>
      <w:sz w:val="20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152</Words>
  <Characters>713</Characters>
  <Lines>0</Lines>
  <Paragraphs>0</Paragraphs>
  <TotalTime>0</TotalTime>
  <ScaleCrop>false</ScaleCrop>
  <LinksUpToDate>false</LinksUpToDate>
  <CharactersWithSpaces>825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2026-07-28T06:22:00Z</dcterms:created>
  <dc:creator>凤出龙城</dc:creator>
  <cp:lastModifiedBy>凤出龙城</cp:lastModifiedBy>
  <dcterms:modified xsi:type="dcterms:W3CDTF">2026-07-28T21:58:25Z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F4F45FE31BB942BCBBED511E5C14E67C_11</vt:lpwstr>
  </property>
  <property fmtid="{D5CDD505-2E9C-101B-9397-08002B2CF9AE}" pid="4" name="KSOTemplateDocerSaveRecord">
    <vt:lpwstr>eyJoZGlkIjoiZTMyM2JhNzEyMzQzY2VhM2Y3Y2FiOWM5YWZlMDJmYTQiLCJ1c2VySWQiOiI3MjA3NzQzNDYifQ==</vt:lpwstr>
  </property>
</Properties>
</file>