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v10  |  日期: 2026-07-23  |  负责人: 王振</w:t>
      </w:r>
    </w:p>
    <w:p>
      <w:pPr>
        <w:pStyle w:val="Heading1"/>
      </w:pPr>
      <w:r>
        <w:t>v10 眼部雕刻清理（2026-07-23）</w:t>
      </w:r>
    </w:p>
    <w:p>
      <w:pPr>
        <w:pStyle w:val="Heading2"/>
      </w:pPr>
      <w:r>
        <w:t>问题</w:t>
      </w:r>
    </w:p>
    <w:p>
      <w:r>
        <w:t>原始 Tripo 高模下眼睑（卧蚕）区域有尖锐凸起（睫毛残留），vision 标记 8 处，高度 0.3-0.94mm。</w:t>
      </w:r>
    </w:p>
    <w:p>
      <w:pPr>
        <w:pStyle w:val="Heading2"/>
      </w:pPr>
      <w:r>
        <w:t>方法</w:t>
      </w:r>
    </w:p>
    <w:p>
      <w:r>
        <w:t>vision 像素坐标 → 相机参数反投影 → BVH raycast 定位 3D 点 → 尖峰检测（&gt;0.2mm 且方向一致）→ 半径衰减 Laplacian 平滑。迭代 4 轮，累计平滑 5000+ 顶点，填充 13 处凹陷。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peaks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半径衰减平滑 2127 verts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55 verts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15 verts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249+13凹陷</w:t>
            </w:r>
          </w:p>
        </w:tc>
        <w:tc>
          <w:tcPr>
            <w:tcW w:type="dxa" w:w="2880"/>
          </w:tcPr>
          <w:p>
            <w:r>
              <w:t>平滑 2883 verts + 填充 13 凹陷</w:t>
            </w:r>
          </w:p>
        </w:tc>
      </w:tr>
    </w:tbl>
    <w:p>
      <w:pPr>
        <w:pStyle w:val="Heading2"/>
      </w:pPr>
      <w:r>
        <w:t>结论</w:t>
      </w:r>
    </w:p>
    <w:p>
      <w:r>
        <w:t>网格层面 peaks=0，凹陷=0。vision 在 1200×900 分辨率下报告的"睫毛线颗粒"经关闭 cavity 渲染验证为伪影/正常解剖纹理。这些 &lt;0.2mm 的细节在 QR 重拓扑（10 万面）和 2K 烘焙后不会显现。当前状态可交付。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