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BLACK/AFRICAN AMERICAN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WIDOWED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Private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OBSERVATION ADMIT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SKILLED NURSING FACILITY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SKILLED NURSING FACILITY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20.2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112/60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148.70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Dronabinol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Maalox/Diphenhydramine/Lidocaine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 (Immediate Release)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10-15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Nicotine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Fentanyl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mcg/h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Gabapentin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Fluconazole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Enoxaparin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FoLIC Acid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37.5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Baclofen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MetRONIDAZOLE (FLagyl)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23-valent polysaccharide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Lactated Ringers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Ciprofloxacin HCl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Ibuprofen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5%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Cepacol (Menthol)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LOZ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GlipiZIDE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Guaifenesin-CODEINE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PKT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Cepacol (Sore Throat Lozenge)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LOZ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Rivaroxaban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Artificial Tear Ointment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 Liquid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Loratadine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Prochlorperazine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Artificial Tears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DROP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 (Powder)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Nystatin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Alteplase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20.4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34.0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49.0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eAG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Cholesterol,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228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4.58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39.3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Barbiturate Screen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Benzodiazepine Screen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Ethanol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Salicylate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Tricyclic Antidepressant Screen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17.1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39.1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Potassium, Whole 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 Ratio (Total/HDL)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Ratio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HDL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LDL, Calculated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Lipase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Secondary malignant neoplasm of mediastinum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secondary thrombocytopenia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Secondary and unspecified malignant neoplasm of intrathoracic lymph nodes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Malignant neoplasm of upper lobe, right bronchus or lung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Vitamin D deficiency,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Hemiplegia and hemiparesis following cerebral infarction affecting left non-dominant side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Personal history of pulmonary embolism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Personal history of other venous thrombosis and embolism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Pure hypercholesterolemia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Type 2 diabetes mellitus without complications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