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HISPANIC OR LATINO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Medicaid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REHAB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26.2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124/79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71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188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 (Powder)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3% (Hypertonic)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Ciprofloxacin IV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Olanzapine (Disintegrating Tablet)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Fludrocortisone Acetate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Methadone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0.83%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NiCARdipine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 20 mEq / 1000 mL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Ziprasidone Mesylate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Ibuprofen Suspension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200-400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Phenytoin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Dexmedetomidine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Erythromycin 0.5% Ophth Oint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Spironolactone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325-650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Albumin 5% (12.5g / 250mL)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ChlorproMAZINE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Labetalol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Alteplase 1mg/1mL ( Clearance ie. Temp TLCL 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Phosphorus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Tobramycin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490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0.5-2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mmol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Artificial Tears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DROP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0.25-1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Haloperidol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Hydrochlorothiazide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Artificial Tear Ointment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Patch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mcg/hr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Quetiapine Fumarate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Nystatin Oral Suspension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Midazolam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0.5-2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LeVETiracetam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Cisatracurium Besylate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Acetaminophen-Caff-Butalbital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 Oral Liquid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Ziprasidone Hydrochloride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MetRONIDAZOLE (FLagyl)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Isosorbide Mononitrate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Nimodipine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Esmolol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D5LR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Isosorbide Dinitrate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92.7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Free Calcium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1.03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7.49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225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Potassium, Whole Blood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pCO2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1.045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40.7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30.6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4.67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CK-MB Index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Base Excess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Calculated Total CO2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Oxygen Saturation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ART.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Chloride, Whole 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Hematocrit, Calculated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Sodium, Whole 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FEW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&gt;50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Cloudy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Subarachnoid hemorrhage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Cerebral edema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Cerebral artery occlusion, unspecified with cerebral infarction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Ventricular fibrillation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respiratory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Cardiac arrest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myocardial infarction of other inferior wall, initial episode of care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Neuroleptic malignant syndrome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Obstructive hydrocephalus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Mixed acid-base balance disorder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