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Medicaid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35.5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128/80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66.5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223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Divalproex (DELayed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Cepacol (Menthol)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LOZ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CeftriaXONE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Cefpodoxime Proxetil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Levothyroxine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0.45%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Azithromycin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Calcium Carbonate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Ibuprofen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Rosuvastatin Calcium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PKT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LamoTRIgine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LevETIRAcetam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Methylprednisolone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Hydrochlorothiazide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1%/Epinephrine 1:100000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Amoxicillin-Clavulanic Acid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875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LaMOTrigine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Bacitracin Ointment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PredniSONE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Clotrimazole Cream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0.5-2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Januvia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Cholesterol, LDL, Calculated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Cholesterol,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232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4.45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38.9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33.8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36.3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Valproic Acid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47.0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47.4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 Ratio (Total/HDL)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HDL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Ferritin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Hepatitis B Surface Antibody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Hepatitis B Surface Antigen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Hepatitis B Virus Core Antibody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Hepatitis C Virus Antibody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Iron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Iron Binding Capacity,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355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Transferrin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273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24.8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kidney failure,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Diabetes mellitus without mention of complication, type II or unspecified type, uncontrolled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Long-term (current) use of insulin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Epilepsy, unspecified, without mention of intractable epilepsy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essential hypertension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Obstructive sleep apnea (adult)(pediatric)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intellectual disabilities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