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SINGLE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32.1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132/72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224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Ferrous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Warfarin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DiCLOXacillin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Omeprazole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Amiodarone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100-1400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Rosuvastatin Calcium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 Bromide MDI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PUFF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Simvastatin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Enoxaparin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Hydrochlorothiazide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Pravastatin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Multivitamins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Salmeterol Xinafoate Diskus (50 mcg)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INH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Pantoprazole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Zolpidem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D5W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DiphenhydrAMINE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Levofloxacin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OxycoDONE-Acetaminophen Elixir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5-10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Phytonadione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Jelly 2% (Urojet)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Morphine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Artificial Tears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1-2 DROP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BOTH EYES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 Bromide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Fentanyl Patch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 mcg/hr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Piperacillin-Tazobactam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4.5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 (Mini Bag Plus)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Micafungin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Midazolam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Albuterol-Ipratropium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1-2 PUFF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Phosphate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mmol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Phenylephrine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Fluconazole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Norepinephrine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D5 1/2NS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 20 mEq / 1000 mL D5 1/2 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91.8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32.5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15.8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3.76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181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Gentamicin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15.9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75.8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28.5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32.9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433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tube, held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SPECIMEN TO BE HELD 48 HOURS AND DISCARDED.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OCC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EU/dL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Hyaline Casts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0-2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#/lpf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&gt;50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Clear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Yellow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Creatinine, Urine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Sodium, Urine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Hypochromia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Microcytes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Atrioventricular block, complete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Long-term (current) use of anticoagulants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Atrial fibrillation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Heart valve replaced by other means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Cardiac pacemaker in situ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Aortocoronary bypass status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Unspecified essential hypertension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 and unspecified hyperlipidemia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Bronchiectasis without acute exacerbation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Heart disease, unspecified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