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 - OTHER EUROPEAN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DIRECT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32.7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115/74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62.5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181.6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Sertraline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Rosuvastatin Calcium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Isosorbide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0.45%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Ondansetron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Multivitamins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BusPIRone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TraMADOL (Ultram)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BuPROPion (Sustained Release)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Nitroglycerin SL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0.4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Amlodipine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Nicotine Patch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OxyCODONE SR (OxyconTIN)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Atropine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47.1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39.5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4.55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Atherosclerotic heart disease of native coronary artery without angina pectoris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Old myocardial infarction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Presence of aortocoronary bypass graft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Encounter for immunization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Abnormal weight gain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Body mass index [BMI] 33.0-33.9, adult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Lymphoblastic (diffuse) lymphoma, unspecified site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inflammatory demyelinating polyneuritis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Chronic obstructive pulmonary disease,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Long term (current) use of antithrombotics/antiplatelets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