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WIDOWED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CHRONIC/LONG TERM ACUTE CARE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31.6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105/68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220.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Atropine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 xml:space="preserve">Potassium Chloride Replacement (Critical Care and Oncology) 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Glycopyrrolate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Warfarin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FoLIC Acid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3% Inhalation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Digoxin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0.125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Guaifenesin-CODEINE Phosphate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Levothyroxine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112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Cyanocobalamin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Clopidogrel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Lidocaine 1% (For PICC/Midline Insertions)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CeFAZolin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NORepinephrine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Sterile Water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Levalbuterol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0.63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Tiotropium Bromide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CAP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Lidocaine Viscous 2%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Captopril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Azithromycin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Syringe (0.9% Sodium Chloride)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Alteplase (Catheter Clearance)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Benzonatate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Enoxaparin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PKT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Phytonadione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Midazolam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BOLUS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 xml:space="preserve">Fluticasone-Salmeterol Diskus (250/50) 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INH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Lidocaine Jelly 2% (Urojet)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67.9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30.7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77.1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3.14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CK-MB Index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eAG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32.0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32.8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Base Excess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Calculated Total CO2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Intubated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NOT INTUBATED.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Oxygen Saturation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pCO2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7.45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Specimen Type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ART.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Sepsis due to Methicillin susceptible Staphylococcus aureus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Severe sepsis with septic shock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and subacute infective endocarditis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Viral pneumonia,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kidney failure,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total occlusion of coronary artery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Urinary tract infection, site not 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systolic (congestive) heart failure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Hypo-osmolality and hyponatremia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Atherosclerotic heart disease of native coronary artery without angina pectoris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