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EU OBSERVATION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WALK-IN/SELF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25.5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136/69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162.7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Vaccine High-Dose Quadrivalent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0.7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Losartan Potassium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Simvastatin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Vaccine Quadrivalent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Clopidogrel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17.2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Warfarin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Famotidine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CeFAZolin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Albumin 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37.5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NiCARdipine IV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GuaiFENesin-Dextromethorphan (Sugar Free)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Diltiazem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 IV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0.9 %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BOLUS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 (Immediate Release)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5-10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NORepinephrine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 Human Regular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Albumin 25%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Phosphorus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 (EXCEL BAG)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Sterile Water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3% Inhalation 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Apixaban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Lactated Ringers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Syringe (Iso-Osmotic Dextrose)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12.5-25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Cepacol (Sore Throat Lozenge)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LOZ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Lactulose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Ramelteon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Jelly 2% (Glydo)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Inhaler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PUFF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Benzonatate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GuaiFENesin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Chloride, Whole Blood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959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72.0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4.50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Lactate Dehydrogenase (LD)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305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39.7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Light Green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Calculated Bicarbonate, Whole 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Potassium, Whole 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Sodium, Whole 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Barbiturate Screen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Benzodiazepine Screen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Ethanol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Lipase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Salicylate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Tricyclic Antidepressant Screen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Fibrinogen, Functional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316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22.6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on chronic diastolic (congestive) heart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Atherosclerotic heart disease of native coronary artery with other forms of angina pectoris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Presence of coronary angioplasty implant and graft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kidney disease, stage 3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Hyperlipidemia,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Nonrheumatic aortic (valve) stenosis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Occlusion and stenosis of right carotid artery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Presence of prosthetic heart valve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