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Amharic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OBSERVATION ADMIT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CLINIC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29.0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24.7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137/76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62.6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148.00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137.7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Enoxaparin (Prophylaxis)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GuaiFENesin-CODEINE Phosphate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 (For PICC/Midline Insertions)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Acetylcysteine 20%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(Immediate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Nystatin Oral Suspension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18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Fluconazole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10-20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Cinacalcet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doravirine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Cobicistat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 (Powder)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LOPERamide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Dolutegravir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Acyclovir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Emtricitabine-Tenofovir alafen (200mg-25mg) *DESCOVY*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Atovaquone Suspension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Darunavir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Metoclopramide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Pravastatin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Artificial Tears Preserv. 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Ketorolac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 W/minerals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Allopurinol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Entecavir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DiphenhydrAMINE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25-50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SYR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Filgrastim-sndz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Prochlorperazine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Methylnaltrexone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SUBCUT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Dextromethorphan Polistirex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Sulfameth/Trimethoprim SS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Posaconazole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Syringe (0.9% Sodium Chloride)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Alteplase (Catheter Clearance)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Fleet Enema (Mineral Oil)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Enema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VinCRIStine (Oncovin)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3% Inhalation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NEB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3.87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50.2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87.6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79.2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7.32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25-OH Vitamin 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32.3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Parathyroid Hormone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Urinary tract infection, site not 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Human immunodeficiency virus [HIV] disease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Diffuse large B-cell lymphoma, lymph nodes of multiple sites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Hyperosmolality and hypernatremia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Pathological fracture, other site, initial encounter for fracture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Candidal stomatitis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Resistance to multiple antibiotics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Pneumonitis due to inhalation of food and vomit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Klebsiella pneumoniae [K. pneumoniae] as the cause of diseases classified elsewhere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Enterococcus as the cause of diseases classified elsewhere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