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33.9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140/70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204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Simethicone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40-80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Scopolamine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0.5-1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NiCARdipine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Tacrolimus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Lidocaine 1%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Mycophenolate Mofetil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Sulfameth/Trimethoprim 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Levothyroxine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Carbonate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0.45%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Atropine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Nasonex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SPRY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Prochlorperazine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Astelin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137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Sulfameth/Trimethoprim 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Losartan Potassium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budesonide-formoterol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INHALATION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Aluminum-Magnesium Hydrox.-Simethicone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Sulfate (Extended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3.93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Albumin/Creatinine, Urine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52.3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Immunoglobulin 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Immunoglobulin 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30.7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Protein/Creatinine Ratio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mg/mg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23.4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29.3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69.9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tacroFK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Prot. Electrophoresis,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Total Protein,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Globulin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Immunoglobulin 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1150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 Electrophoresis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Transitional 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Cardiac arrest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kidney disease,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Kidney replaced by transplant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late effects of cerebrovascular disease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musculoskeletal symptoms referable to limbs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Diabetes mellitus without mention of complication, type II or unspecified type, not stated as uncontrolled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Long-term (current) use of insulin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Hypertensive chronic kidney disease, unspecified, with chronic kidney disease stage I through stage IV, or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Nausea with vomiting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Nontoxic multinodular goiter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