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80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BLACK/AFRICAN AMERICAN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EU OBSERVATION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27.0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140/60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65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162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Fluticasone Propionate NASAL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SPRY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 w/Codeine Elixir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12.5-25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Simvastatin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Terazosin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Omeprazole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GlyBURIDE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PKT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 w/Codeine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1-2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Ibuprofen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DOBUTamine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Midazolam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Glucose Gel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ORAL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 Hemoglobin A1c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146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12.6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35.1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4.17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Albumin,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Albumin/Creatinine, Urine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Creatinine, Urine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229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Length of Urine Collection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 Ratio (Total/HDL)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Ratio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HDL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Cholesterol, LDL, Calculated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189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Prostate Specific Antigen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Cholesterol, LDL, Measured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29.4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6.6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60.6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Platelet Smear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14.0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Light Green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tube, held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SPECIMEN TO BE HELD 48 HOURS AND DISCARDED.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1.011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Clear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8.6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Old myocardial infarction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Diabetes mellitus without mention of complication, type II or unspecified type, not stated as uncontrolled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Pure hypercholesterolemia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Unspecified essential hypertension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Malignant neoplasm of prostate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Tension headache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Osteitis deformans without mention of bone tumor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Depressive disorder, not elsewhere classified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specified cardiac dysrhythmias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Hyperosmolality and/or hypernatremia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