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0392B"/>
          <w:sz w:val="32"/>
        </w:rPr>
        <w:t>Cardiology — Atrial Fibrillation Anticoagulation Management</w:t>
      </w:r>
    </w:p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Scenario ID: cardio_003 · Task 1 × 3 questions + Task 2 × 1 question · Total: 16 points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i w:val="0"/>
          <w:color w:val="E74C3C"/>
          <w:sz w:val="18"/>
        </w:rPr>
        <w:t>Please provide complete answers in the [Answer Area] for each question.</w:t>
      </w:r>
    </w:p>
    <w:p>
      <w:pPr>
        <w:spacing w:before="80" w:after="120" w:line="336" w:lineRule="auto"/>
      </w:pPr>
      <w:r>
        <w:rPr>
          <w:rFonts w:ascii="微软雅黑" w:hAnsi="微软雅黑" w:eastAsia="微软雅黑"/>
          <w:b/>
          <w:i w:val="0"/>
          <w:color w:val="16A085"/>
          <w:sz w:val="20"/>
        </w:rPr>
        <w:t>Basic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fill="ECF0F1" w:val="clear"/>
          </w:tcPr>
          <w:p>
            <w:r>
              <w:t>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59</w:t>
            </w:r>
          </w:p>
        </w:tc>
        <w:tc>
          <w:tcPr>
            <w:tcW w:type="dxa" w:w="1063"/>
            <w:shd w:fill="ECF0F1" w:val="clear"/>
          </w:tcPr>
          <w:p>
            <w:r>
              <w:t>Sex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Female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Weight (kg)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60</w:t>
            </w:r>
          </w:p>
        </w:tc>
        <w:tc>
          <w:tcPr>
            <w:tcW w:type="dxa" w:w="1063"/>
            <w:shd w:fill="ECF0F1" w:val="clear"/>
          </w:tcPr>
          <w:p>
            <w:r>
              <w:t>Creatinine (μmol/L)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94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eGFR(mL/min/1.73m²)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56</w:t>
            </w:r>
          </w:p>
        </w:tc>
        <w:tc>
          <w:tcPr>
            <w:tcW w:type="dxa" w:w="1063"/>
            <w:shd w:fill="ECF0F1" w:val="clear"/>
          </w:tcPr>
          <w:p>
            <w:r>
              <w:t>Blood potassium (mmol/L)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4.0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LVEF(%)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52</w:t>
            </w:r>
          </w:p>
        </w:tc>
        <w:tc>
          <w:tcPr>
            <w:tcW w:type="dxa" w:w="1063"/>
            <w:shd w:fill="ECF0F1" w:val="clear"/>
          </w:tcPr>
          <w:p>
            <w:r>
              <w:t>CHA₂DS₂-VASc score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</w:t>
            </w:r>
          </w:p>
        </w:tc>
      </w:tr>
      <w:tr>
        <w:tc>
          <w:tcPr>
            <w:tcW w:type="dxa" w:w="1063"/>
            <w:shd w:fill="ECF0F1" w:val="clear"/>
          </w:tcPr>
          <w:p>
            <w:r>
              <w:t>HAS-BLED Score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</w:t>
            </w:r>
          </w:p>
        </w:tc>
        <w:tc>
          <w:tcPr>
            <w:tcW w:type="dxa" w:w="1063"/>
            <w:shd w:fill="ECF0F1" w:val="clear"/>
          </w:tcPr>
          <w:p>
            <w:r>
              <w:t>Comorbid hypertension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Yes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Comorbid diabetes mellitus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No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Diagnosis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Non-valvular atrial fibrillation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980B9"/>
        </w:rPr>
        <w:t>Task 1: Comprehensive Clinical Pharmacy Assessment (12 points)</w:t>
      </w:r>
    </w:p>
    <w:p>
      <w:pPr>
        <w:spacing w:before="120" w:after="120" w:line="360" w:lineRule="auto"/>
        <w:ind w:left="170" w:right="170"/>
        <w:shd w:fill="EAF2FF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1: Based on a comprehensive clinical pharmacy assessment, and in conjunction with this hospital’s drug inventory, complete the following comprehensive assessment questions.</w:t>
        <w:br/>
        <w:br/>
        <w:t>Requirements: Any recommended medication must use the full drug name and specification as listed in the inventory; if a medication outside the inventory is required, it must be clearly labeled “This medication is not listed in this hospital’s inventory and requires external purchase/temporary compounding,” and an in-inventory alternative plan or an acquisition process must be provided.</w:t>
      </w:r>
    </w:p>
    <w:p/>
    <w:p>
      <w:pPr>
        <w:pStyle w:val="Heading3"/>
      </w:pPr>
      <w:r>
        <w:rPr>
          <w:color w:val="2980B9"/>
        </w:rPr>
        <w:t>Q1  Development of a stroke prevention strategy for non-valvular atrial fibrillation (initiation of anticoagulation)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 59-year-old woman diagnosed with non-valvular atrial fibrillation with concomitant hypertension. Body weight 60 kg, Scr 94 μmol/L, eGFR 56 mL/min/1.73 m², serum potassium 4.0 mmol/L, LVEF 52%. CHA₂DS₂-VASc score 2, HAS-BLED score 1. The attending physician asks you, as a clinical pharmacist, to provide comprehensive pharmaceutical recommendations for the stroke prevention medication regimen during hospitalization and after discharge.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8E44AD"/>
        </w:rPr>
        <w:t>Q2  Management of Bleeding Events During the Implementation of Anticoagulant Therapy and Adjustment of the Treatment Plan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On day 5 after starting oral anticoagulant therapy as prescribed, the patient developed gingival bleeding and increased subcutaneous ecchymoses, and reported melena over the past 2 days. Repeat evaluation showed Hb decreased from 132 g/L on admission to 108 g/L; blood pressure was stable. Scr was 110 μmol/L (increased compared with prior), and eGFR was approximately 48 mL/min/1.73 m². A blood-activating and stasis-resolving Chinese patent medicine and an analgesic were newly added to the concomitant medications. The attending physician asks you, as a clinical pharmacist, to provide recommendations for the next step in medication management.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27AE60"/>
        </w:rPr>
        <w:t>Q3  Consultation on acute pharmacotherapy for atrial fibrillation rate/rhythm control (with moderate renal function impairment)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During hospitalization, the same patient developed worsening palpitations. ECG monitoring indicated atrial fibrillation with rapid ventricular response (resting heart rate approximately 130 beats/min). Blood pressure was 118/72 mmHg. There was no chest pain. LVEF was 52%. The attending physician planned to administer intravenous medication to control the ventricular rate and to assess the possibility of rhythm conversion. Please provide recommendations, as a clinical pharmacist, regarding the current acute-phase medication regimen.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Area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D4AC0D"/>
        </w:rPr>
        <w:t>Task 2: Clinical Implementation Documentation (4 points)</w:t>
      </w:r>
    </w:p>
    <w:p>
      <w:pPr>
        <w:spacing w:before="120" w:after="120" w:line="360" w:lineRule="auto"/>
        <w:ind w:left="170" w:right="170"/>
        <w:shd w:fill="FEF9E7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2: Clinical implementation document. Please, based on the clinical decision from Task 1, produce an implementation-ready document.</w:t>
        <w:br/>
        <w:br/>
        <w:t>Requirements: Any medications mentioned in the document must use the full inventory name and specification. For medications not in inventory, mark them in the document as “requires external purchase/temporary compounding” and describe the procurement process.</w:t>
      </w:r>
    </w:p>
    <w:p>
      <w:pPr>
        <w:spacing w:before="120" w:after="80" w:line="336" w:lineRule="auto"/>
      </w:pPr>
      <w:r>
        <w:rPr>
          <w:rFonts w:ascii="微软雅黑" w:hAnsi="微软雅黑" w:eastAsia="微软雅黑"/>
          <w:b/>
          <w:i w:val="0"/>
          <w:color w:val="7D6608"/>
          <w:sz w:val="20"/>
        </w:rPr>
        <w:t>Document Type: Pharmaceutical Care Plan Form</w:t>
      </w:r>
    </w:p>
    <w:p>
      <w:pPr>
        <w:spacing w:before="80" w:after="120" w:line="408" w:lineRule="auto"/>
        <w:ind w:left="227" w:right="227"/>
        <w:shd w:fill="FEF9E7" w:val="clear"/>
      </w:pPr>
      <w:r>
        <w:rPr>
          <w:rFonts w:ascii="微软雅黑" w:hAnsi="微软雅黑" w:eastAsia="微软雅黑"/>
          <w:b w:val="0"/>
          <w:i w:val="0"/>
          <w:sz w:val="22"/>
        </w:rPr>
        <w:t>Please prepare a pharmaceutical monitoring document (presented in table format) for this 59-year-old hospitalized female patient with non-valvular atrial fibrillation, covering the entire process of “initiation of anticoagulation—emergency management and medication adjustment after suspected gastrointestinal bleeding—acute rate-control medication,” for joint implementation by the physician and nursing teams.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Response Section (Task 2 Written Document, please complete the entire 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17600" w:hRule="exact"/>
        </w:trPr>
        <w:tc>
          <w:tcPr>
            <w:tcW w:type="dxa" w:w="8504"/>
            <w:shd w:fill="FFFEF5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>Cross-Specialty Probe v2 — 临床药学综合评估试卷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