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0392B"/>
          <w:sz w:val="32"/>
        </w:rPr>
        <w:t>Cardiology — Anticoagulation Management for Atrial Fibrillation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cardio_011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a complete answer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74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73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216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28</w:t>
            </w:r>
          </w:p>
        </w:tc>
        <w:tc>
          <w:tcPr>
            <w:tcW w:type="dxa" w:w="1063"/>
            <w:shd w:fill="ECF0F1" w:val="clear"/>
          </w:tcPr>
          <w:p>
            <w:r>
              <w:t>Serum potassium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3.9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LVEF(%)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28</w:t>
            </w:r>
          </w:p>
        </w:tc>
        <w:tc>
          <w:tcPr>
            <w:tcW w:type="dxa" w:w="1063"/>
            <w:shd w:fill="ECF0F1" w:val="clear"/>
          </w:tcPr>
          <w:p>
            <w:r>
              <w:t>CHA₂DS₂-VASc score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HAS-BLED Score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4</w:t>
            </w:r>
          </w:p>
        </w:tc>
        <w:tc>
          <w:tcPr>
            <w:tcW w:type="dxa" w:w="1063"/>
            <w:shd w:fill="ECF0F1" w:val="clear"/>
          </w:tcPr>
          <w:p>
            <w:r>
              <w:t>Concomitant hypertension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Diabetes mellitus comorbidity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Yes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Non-valvular atrial fibrillation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please complete the following comprehensive assessment questions in conjunction with this hospital’s medication inventory.</w:t>
        <w:br/>
        <w:br/>
        <w:t>Requirements: Recommended medications must use the complete medication name and specification/strength available in the inventory. If a medication outside the inventory is required, it must be clearly labeled as “This medication is not listed in this hospital’s inventory and requires external purchase/temporary compounding,” and an in-inventory alternative plan or an acquisition process must be provided.</w:t>
      </w:r>
    </w:p>
    <w:p/>
    <w:p>
      <w:pPr>
        <w:pStyle w:val="Heading3"/>
      </w:pPr>
      <w:r>
        <w:rPr>
          <w:color w:val="2980B9"/>
        </w:rPr>
        <w:t>Q1  Developing an anticoagulation regimen for non-valvular atrial fibrillation (with concomitant CKD and high bleeding risk)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74-year-old man diagnosed with nonvalvular atrial fibrillation, CHA₂DS₂-VASc = 3, HAS-BLED = 4. Serum creatinine 216 μmol/L, eGFR 28 mL/min/1.73 m², serum potassium 3.9 mmol/L; comorbid diabetes mellitus. The attending physician plans to initiate long-term antithrombotic therapy but is concerned about renal function and bleeding risk; please provide medication recommendations as a clinical pharmacist.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Strategies for ventricular rate control and rhythm control, and medication safety, in atrial fibrillation complicated by HFrEF (LVEF 28%)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hospital day 2, the same patient developed worsening palpitations and shortness of breath. ECG showed atrial fibrillation with rapid ventricular response (resting ventricular rate approximately 130 beats/min), and blood pressure was 105/65 mmHg. Echocardiography showed an LVEF of 28%. Renal function was unchanged from before (eGFR 28). The attending physician hopes to improve symptoms as soon as possible and reduce the risk of heart failure deterioration; please, as a clinical pharmacist, provide medication recommendations.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 Bleeding events during implementation of anticoagulant therapy and management of abnormal INR (including the risk associated with concomitant use of Chinese patent medicines/antiplatelet agents)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day 7 after initiation of anticoagulation, the patient reported gingival bleeding and reddish urine; vital signs were stable. Repeat testing showed an INR of 4.3, and hemoglobin had decreased by 15 g/L compared with admission. During rounds, it was discovered that the patient’s family had independently added, from medications available in the hospital, a “blood-activating and collateral-unblocking” Chinese patent medicine and an over-the-counter antipyretic-analgesic drug to relieve chest tightness and pain. The attending physician asks you, as the clinical pharmacist, to provide management recommendations.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Execution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execution documentation. Based on the clinical decisions from Task 1, produce documentation that can be implemented directly.</w:t>
        <w:br/>
        <w:br/>
        <w:t>Requirements: Any medications mentioned in the document must use the full inventory name and specifications; medications not in inventory must be labeled in the document as “requires external purchase/temporary compounding,” and the procurement process must be described.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Please, based on this patient’s condition—“non-valvular atrial fibrillation with CKD (eGFR 28), high bleeding risk, and warfarin-associated elevated INR with bleeding already occurring”—prepare a pharmacist-led monitoring document that can be directly implemented by the inpatient multidisciplinary team. It should cover anticoagulation management, bleeding assessment and follow-up reassessment, concomitant medication risk management, and medication safety monitoring for rate-control therapy in atrial fibrillation complicated by HFrEF.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Documentation —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