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0392B"/>
          <w:sz w:val="32"/>
        </w:rPr>
        <w:t>Cardiology — Antiarrhythmic Medication Management</w:t>
      </w:r>
    </w:p>
    <w:p>
      <w:pPr>
        <w:spacing w:before="0" w:after="40" w:line="336" w:lineRule="auto"/>
      </w:pPr>
      <w:r>
        <w:rPr>
          <w:rFonts w:ascii="微软雅黑" w:hAnsi="微软雅黑" w:eastAsia="微软雅黑"/>
          <w:b w:val="0"/>
          <w:i w:val="0"/>
          <w:color w:val="999999"/>
          <w:sz w:val="18"/>
        </w:rPr>
        <w:t>Scenario ID: cardio_001 · Task 1 × 3 questions + Task 2 × 1 question · Total: 16 points</w:t>
      </w:r>
    </w:p>
    <w:p>
      <w:pPr>
        <w:spacing w:before="0" w:after="120" w:line="336" w:lineRule="auto"/>
      </w:pPr>
      <w:r>
        <w:rPr>
          <w:rFonts w:ascii="微软雅黑" w:hAnsi="微软雅黑" w:eastAsia="微软雅黑"/>
          <w:b/>
          <w:i w:val="0"/>
          <w:color w:val="E74C3C"/>
          <w:sz w:val="18"/>
        </w:rPr>
        <w:t>Please provide complete answers in the [Answer Area] for each question.</w:t>
      </w:r>
    </w:p>
    <w:p>
      <w:pPr>
        <w:spacing w:before="80" w:after="120" w:line="336" w:lineRule="auto"/>
      </w:pPr>
      <w:r>
        <w:rPr>
          <w:rFonts w:ascii="微软雅黑" w:hAnsi="微软雅黑" w:eastAsia="微软雅黑"/>
          <w:b/>
          <w:i w:val="0"/>
          <w:color w:val="16A085"/>
          <w:sz w:val="20"/>
        </w:rPr>
        <w:t>Basic Patient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63"/>
        <w:gridCol w:w="1063"/>
        <w:gridCol w:w="1063"/>
        <w:gridCol w:w="1063"/>
        <w:gridCol w:w="1063"/>
        <w:gridCol w:w="1063"/>
        <w:gridCol w:w="1063"/>
        <w:gridCol w:w="1063"/>
      </w:tblGrid>
      <w:tr>
        <w:tc>
          <w:tcPr>
            <w:tcW w:type="dxa" w:w="1063"/>
            <w:shd w:fill="ECF0F1" w:val="clear"/>
          </w:tcPr>
          <w:p>
            <w:r>
              <w:t>Age</w:t>
            </w:r>
            <w:r>
              <w:rPr>
                <w:rFonts w:ascii="微软雅黑" w:hAnsi="微软雅黑" w:eastAsia="微软雅黑"/>
                <w:b/>
                <w:i w:val="0"/>
                <w:color w:val="7F8C8D"/>
                <w:sz w:val="16"/>
              </w:rPr>
            </w:r>
          </w:p>
        </w:tc>
        <w:tc>
          <w:tcPr>
            <w:tcW w:type="dxa" w:w="106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68</w:t>
            </w:r>
          </w:p>
        </w:tc>
        <w:tc>
          <w:tcPr>
            <w:tcW w:type="dxa" w:w="1063"/>
            <w:shd w:fill="ECF0F1" w:val="clear"/>
          </w:tcPr>
          <w:p>
            <w:r>
              <w:t>Sex</w:t>
            </w:r>
            <w:r>
              <w:rPr>
                <w:rFonts w:ascii="微软雅黑" w:hAnsi="微软雅黑" w:eastAsia="微软雅黑"/>
                <w:b/>
                <w:i w:val="0"/>
                <w:color w:val="7F8C8D"/>
                <w:sz w:val="16"/>
              </w:rPr>
            </w:r>
          </w:p>
        </w:tc>
        <w:tc>
          <w:tcPr>
            <w:tcW w:type="dxa" w:w="1063"/>
          </w:tcPr>
          <w:p>
            <w:r>
              <w:t>Female</w:t>
            </w:r>
            <w:r>
              <w:rPr>
                <w:rFonts w:ascii="微软雅黑" w:hAnsi="微软雅黑" w:eastAsia="微软雅黑"/>
                <w:b/>
                <w:i w:val="0"/>
                <w:sz w:val="18"/>
              </w:rPr>
            </w:r>
          </w:p>
        </w:tc>
        <w:tc>
          <w:tcPr>
            <w:tcW w:type="dxa" w:w="1063"/>
            <w:shd w:fill="ECF0F1" w:val="clear"/>
          </w:tcPr>
          <w:p>
            <w:r>
              <w:t>Weight (kg)</w:t>
            </w:r>
            <w:r>
              <w:rPr>
                <w:rFonts w:ascii="微软雅黑" w:hAnsi="微软雅黑" w:eastAsia="微软雅黑"/>
                <w:b/>
                <w:i w:val="0"/>
                <w:color w:val="7F8C8D"/>
                <w:sz w:val="16"/>
              </w:rPr>
            </w:r>
          </w:p>
        </w:tc>
        <w:tc>
          <w:tcPr>
            <w:tcW w:type="dxa" w:w="106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67</w:t>
            </w:r>
          </w:p>
        </w:tc>
        <w:tc>
          <w:tcPr>
            <w:tcW w:type="dxa" w:w="1063"/>
            <w:shd w:fill="ECF0F1" w:val="clear"/>
          </w:tcPr>
          <w:p>
            <w:r>
              <w:t>Heart rate (bpm)</w:t>
            </w:r>
            <w:r>
              <w:rPr>
                <w:rFonts w:ascii="微软雅黑" w:hAnsi="微软雅黑" w:eastAsia="微软雅黑"/>
                <w:b/>
                <w:i w:val="0"/>
                <w:color w:val="7F8C8D"/>
                <w:sz w:val="16"/>
              </w:rPr>
            </w:r>
          </w:p>
        </w:tc>
        <w:tc>
          <w:tcPr>
            <w:tcW w:type="dxa" w:w="106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155</w:t>
            </w:r>
          </w:p>
        </w:tc>
      </w:tr>
      <w:tr>
        <w:tc>
          <w:tcPr>
            <w:tcW w:type="dxa" w:w="1063"/>
            <w:shd w:fill="ECF0F1" w:val="clear"/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7F8C8D"/>
                <w:sz w:val="16"/>
              </w:rPr>
              <w:t>LVEF(%)</w:t>
            </w:r>
          </w:p>
        </w:tc>
        <w:tc>
          <w:tcPr>
            <w:tcW w:type="dxa" w:w="106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36</w:t>
            </w:r>
          </w:p>
        </w:tc>
        <w:tc>
          <w:tcPr>
            <w:tcW w:type="dxa" w:w="1063"/>
            <w:shd w:fill="ECF0F1" w:val="clear"/>
          </w:tcPr>
          <w:p>
            <w:r>
              <w:t>Creatinine (μmol/L)</w:t>
            </w:r>
            <w:r>
              <w:rPr>
                <w:rFonts w:ascii="微软雅黑" w:hAnsi="微软雅黑" w:eastAsia="微软雅黑"/>
                <w:b/>
                <w:i w:val="0"/>
                <w:color w:val="7F8C8D"/>
                <w:sz w:val="16"/>
              </w:rPr>
            </w:r>
          </w:p>
        </w:tc>
        <w:tc>
          <w:tcPr>
            <w:tcW w:type="dxa" w:w="106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95</w:t>
            </w:r>
          </w:p>
        </w:tc>
        <w:tc>
          <w:tcPr>
            <w:tcW w:type="dxa" w:w="1063"/>
            <w:shd w:fill="ECF0F1" w:val="clear"/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7F8C8D"/>
                <w:sz w:val="16"/>
              </w:rPr>
              <w:t>eGFR(mL/min/1.73m²)</w:t>
            </w:r>
          </w:p>
        </w:tc>
        <w:tc>
          <w:tcPr>
            <w:tcW w:type="dxa" w:w="106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54</w:t>
            </w:r>
          </w:p>
        </w:tc>
        <w:tc>
          <w:tcPr>
            <w:tcW w:type="dxa" w:w="1063"/>
            <w:shd w:fill="ECF0F1" w:val="clear"/>
          </w:tcPr>
          <w:p>
            <w:r>
              <w:t>Diagnosis</w:t>
            </w:r>
            <w:r>
              <w:rPr>
                <w:rFonts w:ascii="微软雅黑" w:hAnsi="微软雅黑" w:eastAsia="微软雅黑"/>
                <w:b/>
                <w:i w:val="0"/>
                <w:color w:val="7F8C8D"/>
                <w:sz w:val="16"/>
              </w:rPr>
            </w:r>
          </w:p>
        </w:tc>
        <w:tc>
          <w:tcPr>
            <w:tcW w:type="dxa" w:w="1063"/>
          </w:tcPr>
          <w:p>
            <w:r>
              <w:t>Frequent premature ventricular contractions</w:t>
            </w:r>
            <w:r>
              <w:rPr>
                <w:rFonts w:ascii="微软雅黑" w:hAnsi="微软雅黑" w:eastAsia="微软雅黑"/>
                <w:b/>
                <w:i w:val="0"/>
                <w:sz w:val="18"/>
              </w:rPr>
            </w:r>
          </w:p>
        </w:tc>
      </w:tr>
    </w:tbl>
    <w:p/>
    <w:p>
      <w:pPr>
        <w:pStyle w:val="Heading2"/>
      </w:pPr>
      <w:r>
        <w:rPr>
          <w:color w:val="2980B9"/>
        </w:rPr>
        <w:t>Task 1: Comprehensive Clinical Pharmacy Assessment (12 points)</w:t>
      </w:r>
    </w:p>
    <w:p>
      <w:pPr>
        <w:spacing w:before="120" w:after="120" w:line="360" w:lineRule="auto"/>
        <w:ind w:left="170" w:right="170"/>
        <w:shd w:fill="EAF2FF" w:val="clear"/>
      </w:pPr>
      <w:r>
        <w:rPr>
          <w:rFonts w:ascii="微软雅黑" w:hAnsi="微软雅黑" w:eastAsia="微软雅黑"/>
          <w:b w:val="0"/>
          <w:i w:val="0"/>
          <w:color w:val="1A4A6B"/>
          <w:sz w:val="20"/>
        </w:rPr>
        <w:t>Task 1: Comprehensive clinical pharmacy assessment. Please complete the following comprehensive assessment questions in conjunction with the hospital’s medication inventory.</w:t>
      </w:r>
    </w:p>
    <w:p/>
    <w:p>
      <w:pPr>
        <w:pStyle w:val="Heading3"/>
      </w:pPr>
      <w:r>
        <w:rPr>
          <w:color w:val="2980B9"/>
        </w:rPr>
        <w:t>Q1  Acute-Phase Control of Ventricular Arrhythmias and Initial Pharmacy Consultation Recommendations</w:t>
      </w:r>
    </w:p>
    <w:p>
      <w:pPr>
        <w:spacing w:before="80" w:after="120" w:line="408" w:lineRule="auto"/>
        <w:ind w:left="227" w:right="227"/>
        <w:shd w:fill="EBF5FB" w:val="clear"/>
      </w:pPr>
      <w:r>
        <w:rPr>
          <w:rFonts w:ascii="微软雅黑" w:hAnsi="微软雅黑" w:eastAsia="微软雅黑"/>
          <w:b w:val="0"/>
          <w:i w:val="0"/>
          <w:sz w:val="22"/>
        </w:rPr>
        <w:t>A 68-year-old female, body weight 67 kg, diagnosed with “frequent premature ventricular contractions.” On admission, heart rate was 155 bpm. Echocardiography indicated an LVEF of 36%. Renal function: Scr 95 μmol/L, eGFR 54 mL/min/1.73 m². The attending physician plans to initiate intravenous antiarrhythmic therapy and has requested that you, as a clinical pharmacist, provide comprehensive medication recommendations.</w:t>
      </w:r>
    </w:p>
    <w:p>
      <w:pPr>
        <w:spacing w:before="80" w:after="40" w:line="336" w:lineRule="auto"/>
      </w:pPr>
      <w:r>
        <w:rPr>
          <w:rFonts w:ascii="微软雅黑" w:hAnsi="微软雅黑" w:eastAsia="微软雅黑"/>
          <w:b w:val="0"/>
          <w:i w:val="0"/>
          <w:color w:val="AAAAAA"/>
          <w:sz w:val="16"/>
        </w:rPr>
        <w:t>Answer Section (Task 1 Comprehensive Assessment)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504"/>
      </w:tblGrid>
      <w:tr>
        <w:trPr>
          <w:trHeight w:val="6400" w:hRule="exact"/>
        </w:trPr>
        <w:tc>
          <w:tcPr>
            <w:tcW w:type="dxa" w:w="8504"/>
            <w:shd w:fill="FAFAFA" w:val="clear"/>
          </w:tcPr>
          <w:p>
            <w:pPr>
              <w:spacing w:before="80"/>
            </w:pPr>
            <w:r/>
          </w:p>
        </w:tc>
      </w:tr>
    </w:tbl>
    <w:p>
      <w:pPr>
        <w:spacing w:after="80"/>
      </w:pPr>
    </w:p>
    <w:p/>
    <w:p>
      <w:pPr>
        <w:pStyle w:val="Heading3"/>
      </w:pPr>
      <w:r>
        <w:rPr>
          <w:color w:val="8E44AD"/>
        </w:rPr>
        <w:t>Q2 Management of QTc Prolongation/Polymorphic Ventricular Tachycardia Risk During Treatment and Treatment Plan Adjustment</w:t>
      </w:r>
    </w:p>
    <w:p>
      <w:pPr>
        <w:spacing w:before="80" w:after="120" w:line="408" w:lineRule="auto"/>
        <w:ind w:left="227" w:right="227"/>
        <w:shd w:fill="EBF5FB" w:val="clear"/>
      </w:pPr>
      <w:r>
        <w:rPr>
          <w:rFonts w:ascii="微软雅黑" w:hAnsi="微软雅黑" w:eastAsia="微软雅黑"/>
          <w:b w:val="0"/>
          <w:i w:val="0"/>
          <w:sz w:val="22"/>
        </w:rPr>
        <w:t>After 24 hours of intravenous antiarrhythmic therapy as prescribed, ECG monitoring showed a QTc of 525 ms. The patient still had runs of premature ventricular contractions, with intermittent short bursts of polymorphic ventricular tachycardia that could terminate spontaneously. Repeat electrolytes: K 3.2 mmol/L, Mg 0.62 mmol/L. Blood pressure was 100/62 mmHg. The attending physician requests your management recommendations as a clinical pharmacist.</w:t>
      </w:r>
    </w:p>
    <w:p>
      <w:pPr>
        <w:spacing w:before="80" w:after="40" w:line="336" w:lineRule="auto"/>
      </w:pPr>
      <w:r>
        <w:rPr>
          <w:rFonts w:ascii="微软雅黑" w:hAnsi="微软雅黑" w:eastAsia="微软雅黑"/>
          <w:b w:val="0"/>
          <w:i w:val="0"/>
          <w:color w:val="AAAAAA"/>
          <w:sz w:val="16"/>
        </w:rPr>
        <w:t>Answer Area (Task 1 Comprehensive Assessment)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504"/>
      </w:tblGrid>
      <w:tr>
        <w:trPr>
          <w:trHeight w:val="6400" w:hRule="exact"/>
        </w:trPr>
        <w:tc>
          <w:tcPr>
            <w:tcW w:type="dxa" w:w="8504"/>
            <w:shd w:fill="FAFAFA" w:val="clear"/>
          </w:tcPr>
          <w:p>
            <w:pPr>
              <w:spacing w:before="80"/>
            </w:pPr>
            <w:r/>
          </w:p>
        </w:tc>
      </w:tr>
    </w:tbl>
    <w:p>
      <w:pPr>
        <w:spacing w:after="80"/>
      </w:pPr>
    </w:p>
    <w:p/>
    <w:p>
      <w:pPr>
        <w:pStyle w:val="Heading3"/>
      </w:pPr>
      <w:r>
        <w:rPr>
          <w:color w:val="27AE60"/>
        </w:rPr>
        <w:t>Q3  Secondary Prevention in the Stable Phase and Continuity of Long-term Pharmacologic/Non-pharmacologic Strategies</w:t>
      </w:r>
    </w:p>
    <w:p>
      <w:pPr>
        <w:spacing w:before="80" w:after="120" w:line="408" w:lineRule="auto"/>
        <w:ind w:left="227" w:right="227"/>
        <w:shd w:fill="EBF5FB" w:val="clear"/>
      </w:pPr>
      <w:r>
        <w:rPr>
          <w:rFonts w:ascii="微软雅黑" w:hAnsi="微软雅黑" w:eastAsia="微软雅黑"/>
          <w:b w:val="0"/>
          <w:i w:val="0"/>
          <w:sz w:val="22"/>
        </w:rPr>
        <w:t>After correction of electrolytes and intravenous therapy, the patient’s cardiac rhythm tended to stabilize, with only occasional premature ventricular contractions within 24 hours. Repeat ECG showed a QTc of 465 ms. LVEF remained 36%, and eGFR was 54 mL/min/1.73 m². The attending physician is planning discharge in the near term and has asked you, as a clinical pharmacist, to provide recommendations on post-discharge treatment and follow-up medication management.</w:t>
      </w:r>
    </w:p>
    <w:p>
      <w:pPr>
        <w:spacing w:before="80" w:after="40" w:line="336" w:lineRule="auto"/>
      </w:pPr>
      <w:r>
        <w:rPr>
          <w:rFonts w:ascii="微软雅黑" w:hAnsi="微软雅黑" w:eastAsia="微软雅黑"/>
          <w:b w:val="0"/>
          <w:i w:val="0"/>
          <w:color w:val="AAAAAA"/>
          <w:sz w:val="16"/>
        </w:rPr>
        <w:t>Answer Area (Task 1 Comprehensive Assessment)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504"/>
      </w:tblGrid>
      <w:tr>
        <w:trPr>
          <w:trHeight w:val="6400" w:hRule="exact"/>
        </w:trPr>
        <w:tc>
          <w:tcPr>
            <w:tcW w:type="dxa" w:w="8504"/>
            <w:shd w:fill="FAFAFA" w:val="clear"/>
          </w:tcPr>
          <w:p>
            <w:pPr>
              <w:spacing w:before="80"/>
            </w:pPr>
            <w:r/>
          </w:p>
        </w:tc>
      </w:tr>
    </w:tbl>
    <w:p>
      <w:pPr>
        <w:spacing w:after="80"/>
      </w:pPr>
    </w:p>
    <w:p/>
    <w:p>
      <w:pPr>
        <w:pStyle w:val="Heading2"/>
      </w:pPr>
      <w:r>
        <w:rPr>
          <w:color w:val="D4AC0D"/>
        </w:rPr>
        <w:t>Task 2: Clinical Implementation Documentation (4 points)</w:t>
      </w:r>
    </w:p>
    <w:p>
      <w:pPr>
        <w:spacing w:before="120" w:after="120" w:line="360" w:lineRule="auto"/>
        <w:ind w:left="170" w:right="170"/>
        <w:shd w:fill="FEF9E7" w:val="clear"/>
      </w:pPr>
      <w:r>
        <w:rPr>
          <w:rFonts w:ascii="微软雅黑" w:hAnsi="微软雅黑" w:eastAsia="微软雅黑"/>
          <w:b w:val="0"/>
          <w:i w:val="0"/>
          <w:color w:val="1A4A6B"/>
          <w:sz w:val="20"/>
        </w:rPr>
        <w:t>Task 2: Clinical execution documentation. Please generate directly actionable documentation based on the clinical decision-making from Task 1.</w:t>
        <w:br/>
        <w:br/>
        <w:t>Requirements: Medications mentioned in the documentation must use the full names and specifications as listed in inventory. For medications not in inventory, label them in the documentation as “requires external purchase/temporary compounding” and describe the procurement process.</w:t>
      </w:r>
    </w:p>
    <w:p>
      <w:pPr>
        <w:spacing w:before="120" w:after="80" w:line="336" w:lineRule="auto"/>
      </w:pPr>
      <w:r>
        <w:rPr>
          <w:rFonts w:ascii="微软雅黑" w:hAnsi="微软雅黑" w:eastAsia="微软雅黑"/>
          <w:b/>
          <w:i w:val="0"/>
          <w:color w:val="7D6608"/>
          <w:sz w:val="20"/>
        </w:rPr>
        <w:t>Document Type: Pharmaceutical Care Plan Form</w:t>
      </w:r>
    </w:p>
    <w:p>
      <w:pPr>
        <w:spacing w:before="80" w:after="120" w:line="408" w:lineRule="auto"/>
        <w:ind w:left="227" w:right="227"/>
        <w:shd w:fill="FEF9E7" w:val="clear"/>
      </w:pPr>
      <w:r>
        <w:rPr>
          <w:rFonts w:ascii="微软雅黑" w:hAnsi="微软雅黑" w:eastAsia="微软雅黑"/>
          <w:b w:val="0"/>
          <w:i w:val="0"/>
          <w:sz w:val="22"/>
        </w:rPr>
        <w:t>Based on the patient’s current clinical pathway—“frequent PVCs with reduced LVEF, acute-phase control planned with intravenous amiodarone; if significant QTc prolongation occurs with hypokalemia/hypomagnesemia and short runs of polymorphic VT, emergency management is required; after stabilization, transition to long-term secondary prevention is needed”—prepare an immediately implementable pharmaceutical care monitoring document for the nursing team, to be used for inpatient medication administration, monitoring, early warning, and management documentation.</w:t>
      </w:r>
    </w:p>
    <w:p>
      <w:pPr>
        <w:spacing w:before="80" w:after="40" w:line="336" w:lineRule="auto"/>
      </w:pPr>
      <w:r>
        <w:rPr>
          <w:rFonts w:ascii="微软雅黑" w:hAnsi="微软雅黑" w:eastAsia="微软雅黑"/>
          <w:b w:val="0"/>
          <w:i w:val="0"/>
          <w:color w:val="AAAAAA"/>
          <w:sz w:val="16"/>
        </w:rPr>
        <w:t>Answer Section (Task 2 documentation; please complete the form in full)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504"/>
      </w:tblGrid>
      <w:tr>
        <w:trPr>
          <w:trHeight w:val="17600" w:hRule="exact"/>
        </w:trPr>
        <w:tc>
          <w:tcPr>
            <w:tcW w:type="dxa" w:w="8504"/>
            <w:shd w:fill="FFFEF5" w:val="clear"/>
          </w:tcPr>
          <w:p>
            <w:pPr>
              <w:spacing w:before="80"/>
            </w:pPr>
            <w:r/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微软雅黑" w:hAnsi="微软雅黑" w:eastAsia="微软雅黑"/>
        <w:b w:val="0"/>
        <w:i w:val="0"/>
        <w:color w:val="999999"/>
        <w:sz w:val="16"/>
      </w:rPr>
      <w:t>Cross-Specialty Probe v2 — 临床药学综合评估试卷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