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0392B"/>
          <w:sz w:val="32"/>
        </w:rPr>
        <w:t>Cardiology — Pharmacological Treatment of Heart Failure</w:t>
      </w:r>
    </w:p>
    <w:p>
      <w:pPr>
        <w:spacing w:before="0" w:after="40" w:line="336" w:lineRule="auto"/>
      </w:pPr>
      <w:r>
        <w:rPr>
          <w:rFonts w:ascii="微软雅黑" w:hAnsi="微软雅黑" w:eastAsia="微软雅黑"/>
          <w:b w:val="0"/>
          <w:i w:val="0"/>
          <w:color w:val="999999"/>
          <w:sz w:val="18"/>
        </w:rPr>
        <w:t>Scenario ID: cardio_007 · Task 1 × 3 questions + Task 2 ×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55</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83</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100</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72</w:t>
            </w:r>
          </w:p>
        </w:tc>
        <w:tc>
          <w:tcPr>
            <w:tcW w:type="dxa" w:w="1063"/>
            <w:shd w:fill="ECF0F1" w:val="clear"/>
          </w:tcPr>
          <w:p>
            <w:r>
              <w:t>Serum potassium (mmol/L)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5.4</w:t>
            </w:r>
          </w:p>
        </w:tc>
        <w:tc>
          <w:tcPr>
            <w:tcW w:type="dxa" w:w="1063"/>
            <w:shd w:fill="ECF0F1" w:val="clear"/>
          </w:tcPr>
          <w:p>
            <w:r/>
            <w:r>
              <w:rPr>
                <w:rFonts w:ascii="微软雅黑" w:hAnsi="微软雅黑" w:eastAsia="微软雅黑"/>
                <w:b/>
                <w:i w:val="0"/>
                <w:color w:val="7F8C8D"/>
                <w:sz w:val="16"/>
              </w:rPr>
              <w:t>LVEF(%)</w:t>
            </w:r>
          </w:p>
        </w:tc>
        <w:tc>
          <w:tcPr>
            <w:tcW w:type="dxa" w:w="1063"/>
          </w:tcPr>
          <w:p>
            <w:r/>
            <w:r>
              <w:rPr>
                <w:rFonts w:ascii="微软雅黑" w:hAnsi="微软雅黑" w:eastAsia="微软雅黑"/>
                <w:b/>
                <w:i w:val="0"/>
                <w:sz w:val="18"/>
              </w:rPr>
              <w:t>24</w:t>
            </w:r>
          </w:p>
        </w:tc>
        <w:tc>
          <w:tcPr>
            <w:tcW w:type="dxa" w:w="1063"/>
            <w:shd w:fill="ECF0F1" w:val="clear"/>
          </w:tcPr>
          <w:p>
            <w:r>
              <w:t>NYHA functional classification</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III</w:t>
            </w:r>
          </w:p>
        </w:tc>
      </w:tr>
      <w:tr>
        <w:tc>
          <w:tcPr>
            <w:tcW w:type="dxa" w:w="1063"/>
            <w:shd w:fill="ECF0F1" w:val="clear"/>
          </w:tcPr>
          <w:p>
            <w:r/>
            <w:r>
              <w:rPr>
                <w:rFonts w:ascii="微软雅黑" w:hAnsi="微软雅黑" w:eastAsia="微软雅黑"/>
                <w:b/>
                <w:i w:val="0"/>
                <w:color w:val="7F8C8D"/>
                <w:sz w:val="16"/>
              </w:rPr>
              <w:t>NT-proBNP(pg/mL)</w:t>
            </w:r>
          </w:p>
        </w:tc>
        <w:tc>
          <w:tcPr>
            <w:tcW w:type="dxa" w:w="1063"/>
          </w:tcPr>
          <w:p>
            <w:r/>
            <w:r>
              <w:rPr>
                <w:rFonts w:ascii="微软雅黑" w:hAnsi="微软雅黑" w:eastAsia="微软雅黑"/>
                <w:b/>
                <w:i w:val="0"/>
                <w:sz w:val="18"/>
              </w:rPr>
              <w:t>1800</w:t>
            </w:r>
          </w:p>
        </w:tc>
        <w:tc>
          <w:tcPr>
            <w:tcW w:type="dxa" w:w="1063"/>
            <w:shd w:fill="ECF0F1" w:val="clear"/>
          </w:tcPr>
          <w:p>
            <w:r>
              <w:t>Diagnosis</w:t>
            </w:r>
            <w:r>
              <w:rPr>
                <w:rFonts w:ascii="微软雅黑" w:hAnsi="微软雅黑" w:eastAsia="微软雅黑"/>
                <w:b/>
                <w:i w:val="0"/>
                <w:color w:val="7F8C8D"/>
                <w:sz w:val="16"/>
              </w:rPr>
            </w:r>
          </w:p>
        </w:tc>
        <w:tc>
          <w:tcPr>
            <w:tcW w:type="dxa" w:w="1063"/>
          </w:tcPr>
          <w:p>
            <w:r>
              <w:t>Chronic heart failure (HFrEF, LVEF 24%, NYHA class III)</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Comprehensive clinical pharmacy assessment. Please complete the following comprehensive assessment questions in conjunction with this hospital’s medication inventory.</w:t>
        <w:br/>
        <w:br/>
        <w:t>Requirements: For any recommended medications, use the full medication name and specification available in the inventory. If a medication outside the inventory is required, clearly indicate: “This medication is not listed in this hospital’s inventory and requires external procurement/temporary compounding,” and provide an in-inventory alternative plan or the acquisition process.</w:t>
      </w:r>
    </w:p>
    <w:p/>
    <w:p>
      <w:pPr>
        <w:pStyle w:val="Heading3"/>
      </w:pPr>
      <w:r>
        <w:rPr>
          <w:color w:val="2980B9"/>
        </w:rPr>
        <w:t>Q1  Optimization of Guideline-Directed Medical Therapy During Hospitalization for HFrEF (NYHA Class III)</w:t>
      </w:r>
    </w:p>
    <w:p>
      <w:pPr>
        <w:spacing w:before="80" w:after="120" w:line="408" w:lineRule="auto"/>
        <w:ind w:left="227" w:right="227"/>
        <w:shd w:fill="EBF5FB" w:val="clear"/>
      </w:pPr>
      <w:r>
        <w:rPr>
          <w:rFonts w:ascii="微软雅黑" w:hAnsi="微软雅黑" w:eastAsia="微软雅黑"/>
          <w:b w:val="0"/>
          <w:i w:val="0"/>
          <w:sz w:val="22"/>
        </w:rPr>
        <w:t>A 55-year-old male with chronic heart failure (HFrEF, LVEF 24%, NYHA class III), NT-proBNP 1800 pg/mL. Admission laboratory results: Scr 100 μmol/L, eGFR 72 mL/min/1.73 m², serum potassium 5.4 mmol/L, body weight 83 kg. The attending physician asks you, as a clinical pharmacist, to provide comprehensive pharmaceutical recommendations for the patient’s inpatient heart failure medication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Adjustment of the Treatment Plan in the Presence of Hyperkalemia and Changes in Renal Function During the Course of Therapy</w:t>
      </w:r>
    </w:p>
    <w:p>
      <w:pPr>
        <w:spacing w:before="80" w:after="120" w:line="408" w:lineRule="auto"/>
        <w:ind w:left="227" w:right="227"/>
        <w:shd w:fill="EBF5FB" w:val="clear"/>
      </w:pPr>
      <w:r>
        <w:rPr>
          <w:rFonts w:ascii="微软雅黑" w:hAnsi="微软雅黑" w:eastAsia="微软雅黑"/>
          <w:b w:val="0"/>
          <w:i w:val="0"/>
          <w:sz w:val="22"/>
        </w:rPr>
        <w:t>On repeat testing after 48 hours of treatment according to the heart failure regimen: serum potassium increased from 5.4 to 5.8 mmol/L, Scr increased from 100 to 132 μmol/L, blood pressure was 100/62 mmHg. The patient reported fatigue but no chest pain, and the ECG did not indicate any fatal arrhythmia. The attending physician asks you, as a clinical pharmacist, to provide management recommendations in light of the current medications and laboratory changes.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Acute-phase pharmaceutical management of heart failure complicated by atrial fibrillation with rapid ventricular response</w:t>
      </w:r>
    </w:p>
    <w:p>
      <w:pPr>
        <w:spacing w:before="80" w:after="120" w:line="408" w:lineRule="auto"/>
        <w:ind w:left="227" w:right="227"/>
        <w:shd w:fill="EBF5FB" w:val="clear"/>
      </w:pPr>
      <w:r>
        <w:rPr>
          <w:rFonts w:ascii="微软雅黑" w:hAnsi="微软雅黑" w:eastAsia="微软雅黑"/>
          <w:b w:val="0"/>
          <w:i w:val="0"/>
          <w:sz w:val="22"/>
        </w:rPr>
        <w:t>On hospital day 4, the patient developed sudden palpitations. The ECG indicated atrial fibrillation with rapid ventricular response (ventricular rate approximately 130 beats/min). Blood pressure was 108/68 mmHg. There was no chest pain, and breathing was slightly rapid. The patient had no prior history of anticoagulant use. The attending physician asks you, as a clinical pharmacist, to provide recommendations for the patient’s medication management at this time.</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Execution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 xml:space="preserve">Task 2: Clinical implementation documentation. Please generate directly actionable documentation based on the clinical decisions from Task 1.  </w:t>
        <w:br/>
        <w:br/>
        <w:t>Requirements: Medications mentioned in the document must use the full names and specifications as listed in the inventory. Any medication not in the inventory must be marked in the document as “requires external purchase/temporary compounding,” and the acquisition process must be described.</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Based on this patient’s in-hospital treatment optimization for HFrEF (NYHA III), the occurrence of hyperkalemia and worsening renal function during treatment, and concomitant atrial fibrillation with rapid ventricular response, please develop a pharmacist-led medication monitoring document that can be implemented directly by the healthcare team, to guide medication use, monitoring, early warning, and management (and it must reflect the accessibility/availability of stocked medications).</w:t>
      </w:r>
    </w:p>
    <w:p>
      <w:pPr>
        <w:spacing w:before="80" w:after="40" w:line="336" w:lineRule="auto"/>
      </w:pPr>
      <w:r>
        <w:rPr>
          <w:rFonts w:ascii="微软雅黑" w:hAnsi="微软雅黑" w:eastAsia="微软雅黑"/>
          <w:b w:val="0"/>
          <w:i w:val="0"/>
          <w:color w:val="AAAAAA"/>
          <w:sz w:val="16"/>
        </w:rPr>
        <w:t>Answer Section (Task 2 Document —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