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0392B"/>
          <w:sz w:val="32"/>
        </w:rPr>
        <w:t>Cardiology — ACS Antiplatelet/Anticoagulation</w:t>
      </w:r>
    </w:p>
    <w:p>
      <w:pPr>
        <w:spacing w:before="0" w:after="40" w:line="336" w:lineRule="auto"/>
      </w:pPr>
      <w:r>
        <w:rPr>
          <w:rFonts w:ascii="微软雅黑" w:hAnsi="微软雅黑" w:eastAsia="微软雅黑"/>
          <w:b w:val="0"/>
          <w:i w:val="0"/>
          <w:color w:val="999999"/>
          <w:sz w:val="18"/>
        </w:rPr>
        <w:t>Scenario ID: cardio_012 · Task 1 × 3 questions + Task 2 × 1 question · Total: 16 points</w:t>
      </w:r>
    </w:p>
    <w:p>
      <w:pPr>
        <w:spacing w:before="0" w:after="120" w:line="336" w:lineRule="auto"/>
      </w:pPr>
      <w:r>
        <w:rPr>
          <w:rFonts w:ascii="微软雅黑" w:hAnsi="微软雅黑" w:eastAsia="微软雅黑"/>
          <w:b/>
          <w:i w:val="0"/>
          <w:color w:val="E74C3C"/>
          <w:sz w:val="18"/>
        </w:rPr>
        <w:t>Please provide complete answers in the [Answer Area] for each question.</w:t>
      </w:r>
    </w:p>
    <w:p>
      <w:pPr>
        <w:spacing w:before="80" w:after="120" w:line="336" w:lineRule="auto"/>
      </w:pPr>
      <w:r>
        <w:rPr>
          <w:rFonts w:ascii="微软雅黑" w:hAnsi="微软雅黑" w:eastAsia="微软雅黑"/>
          <w:b/>
          <w:i w:val="0"/>
          <w:color w:val="16A085"/>
          <w:sz w:val="20"/>
        </w:rPr>
        <w:t>Basic Patient Information</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shd w:fill="ECF0F1" w:val="clear"/>
          </w:tcPr>
          <w:p>
            <w:r>
              <w:t>Age</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57</w:t>
            </w:r>
          </w:p>
        </w:tc>
        <w:tc>
          <w:tcPr>
            <w:tcW w:type="dxa" w:w="1063"/>
            <w:shd w:fill="ECF0F1" w:val="clear"/>
          </w:tcPr>
          <w:p>
            <w:r>
              <w:t>Sex</w:t>
            </w:r>
            <w:r>
              <w:rPr>
                <w:rFonts w:ascii="微软雅黑" w:hAnsi="微软雅黑" w:eastAsia="微软雅黑"/>
                <w:b/>
                <w:i w:val="0"/>
                <w:color w:val="7F8C8D"/>
                <w:sz w:val="16"/>
              </w:rPr>
            </w:r>
          </w:p>
        </w:tc>
        <w:tc>
          <w:tcPr>
            <w:tcW w:type="dxa" w:w="1063"/>
          </w:tcPr>
          <w:p>
            <w:r>
              <w:t>Male</w:t>
            </w:r>
            <w:r>
              <w:rPr>
                <w:rFonts w:ascii="微软雅黑" w:hAnsi="微软雅黑" w:eastAsia="微软雅黑"/>
                <w:b/>
                <w:i w:val="0"/>
                <w:sz w:val="18"/>
              </w:rPr>
            </w:r>
          </w:p>
        </w:tc>
        <w:tc>
          <w:tcPr>
            <w:tcW w:type="dxa" w:w="1063"/>
            <w:shd w:fill="ECF0F1" w:val="clear"/>
          </w:tcPr>
          <w:p>
            <w:r>
              <w:t>Weight (kg)</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80</w:t>
            </w:r>
          </w:p>
        </w:tc>
        <w:tc>
          <w:tcPr>
            <w:tcW w:type="dxa" w:w="1063"/>
            <w:shd w:fill="ECF0F1" w:val="clear"/>
          </w:tcPr>
          <w:p>
            <w:r>
              <w:t>Creatinine (μmol/L)</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156</w:t>
            </w:r>
          </w:p>
        </w:tc>
      </w:tr>
      <w:tr>
        <w:tc>
          <w:tcPr>
            <w:tcW w:type="dxa" w:w="1063"/>
            <w:shd w:fill="ECF0F1" w:val="clear"/>
          </w:tcPr>
          <w:p>
            <w:r/>
            <w:r>
              <w:rPr>
                <w:rFonts w:ascii="微软雅黑" w:hAnsi="微软雅黑" w:eastAsia="微软雅黑"/>
                <w:b/>
                <w:i w:val="0"/>
                <w:color w:val="7F8C8D"/>
                <w:sz w:val="16"/>
              </w:rPr>
              <w:t>eGFR(mL/min/1.73m²)</w:t>
            </w:r>
          </w:p>
        </w:tc>
        <w:tc>
          <w:tcPr>
            <w:tcW w:type="dxa" w:w="1063"/>
          </w:tcPr>
          <w:p>
            <w:r/>
            <w:r>
              <w:rPr>
                <w:rFonts w:ascii="微软雅黑" w:hAnsi="微软雅黑" w:eastAsia="微软雅黑"/>
                <w:b/>
                <w:i w:val="0"/>
                <w:sz w:val="18"/>
              </w:rPr>
              <w:t>43</w:t>
            </w:r>
          </w:p>
        </w:tc>
        <w:tc>
          <w:tcPr>
            <w:tcW w:type="dxa" w:w="1063"/>
            <w:shd w:fill="ECF0F1" w:val="clear"/>
          </w:tcPr>
          <w:p>
            <w:r>
              <w:t>GRACE score</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122</w:t>
            </w:r>
          </w:p>
        </w:tc>
        <w:tc>
          <w:tcPr>
            <w:tcW w:type="dxa" w:w="1063"/>
            <w:shd w:fill="ECF0F1" w:val="clear"/>
          </w:tcPr>
          <w:p>
            <w:r>
              <w:t>Troponin</w:t>
            </w:r>
            <w:r>
              <w:rPr>
                <w:rFonts w:ascii="微软雅黑" w:hAnsi="微软雅黑" w:eastAsia="微软雅黑"/>
                <w:b/>
                <w:i w:val="0"/>
                <w:color w:val="7F8C8D"/>
                <w:sz w:val="16"/>
              </w:rPr>
            </w:r>
          </w:p>
        </w:tc>
        <w:tc>
          <w:tcPr>
            <w:tcW w:type="dxa" w:w="1063"/>
          </w:tcPr>
          <w:p>
            <w:r>
              <w:t>Elevated</w:t>
            </w:r>
            <w:r>
              <w:rPr>
                <w:rFonts w:ascii="微软雅黑" w:hAnsi="微软雅黑" w:eastAsia="微软雅黑"/>
                <w:b/>
                <w:i w:val="0"/>
                <w:sz w:val="18"/>
              </w:rPr>
            </w:r>
          </w:p>
        </w:tc>
        <w:tc>
          <w:tcPr>
            <w:tcW w:type="dxa" w:w="1063"/>
            <w:shd w:fill="ECF0F1" w:val="clear"/>
          </w:tcPr>
          <w:p>
            <w:r>
              <w:t>Diagnosis</w:t>
            </w:r>
            <w:r>
              <w:rPr>
                <w:rFonts w:ascii="微软雅黑" w:hAnsi="微软雅黑" w:eastAsia="微软雅黑"/>
                <w:b/>
                <w:i w:val="0"/>
                <w:color w:val="7F8C8D"/>
                <w:sz w:val="16"/>
              </w:rPr>
            </w:r>
          </w:p>
        </w:tc>
        <w:tc>
          <w:tcPr>
            <w:tcW w:type="dxa" w:w="1063"/>
          </w:tcPr>
          <w:p>
            <w:r>
              <w:t>Unstable angina (UA)</w:t>
            </w:r>
            <w:r>
              <w:rPr>
                <w:rFonts w:ascii="微软雅黑" w:hAnsi="微软雅黑" w:eastAsia="微软雅黑"/>
                <w:b/>
                <w:i w:val="0"/>
                <w:sz w:val="18"/>
              </w:rPr>
            </w:r>
          </w:p>
        </w:tc>
      </w:tr>
    </w:tbl>
    <w:p/>
    <w:p>
      <w:pPr>
        <w:pStyle w:val="Heading2"/>
      </w:pPr>
      <w:r>
        <w:rPr>
          <w:color w:val="2980B9"/>
        </w:rPr>
        <w:t>Task 1: Comprehensive Clinical Pharmacy Assessment (12 points)</w:t>
      </w:r>
    </w:p>
    <w:p>
      <w:pPr>
        <w:spacing w:before="120" w:after="120" w:line="360" w:lineRule="auto"/>
        <w:ind w:left="170" w:right="170"/>
        <w:shd w:fill="EAF2FF" w:val="clear"/>
      </w:pPr>
      <w:r>
        <w:rPr>
          <w:rFonts w:ascii="微软雅黑" w:hAnsi="微软雅黑" w:eastAsia="微软雅黑"/>
          <w:b w:val="0"/>
          <w:i w:val="0"/>
          <w:color w:val="1A4A6B"/>
          <w:sz w:val="20"/>
        </w:rPr>
        <w:t>Task 1: Based on a comprehensive clinical pharmacy assessment, please complete the following comprehensive assessment questions in conjunction with this hospital’s drug inventory.</w:t>
        <w:br/>
        <w:br/>
        <w:t>Requirements: For recommended medications, the full drug name and specification as listed in the inventory must be used. If a medication outside the inventory is required, it must be explicitly labeled “This medication is not listed in this hospital’s inventory and requires external purchase/temporary compounding,” and an in-inventory alternative plan or an acquisition process must be provided.</w:t>
      </w:r>
    </w:p>
    <w:p/>
    <w:p>
      <w:pPr>
        <w:pStyle w:val="Heading3"/>
      </w:pPr>
      <w:r>
        <w:rPr>
          <w:color w:val="2980B9"/>
        </w:rPr>
        <w:t>Q1  Development of the initial in-hospital antithrombotic and anti-ischemic regimen for ACS (UA/NSTE-ACS) (with comorbid CKD)</w:t>
      </w:r>
    </w:p>
    <w:p>
      <w:pPr>
        <w:spacing w:before="80" w:after="120" w:line="408" w:lineRule="auto"/>
        <w:ind w:left="227" w:right="227"/>
        <w:shd w:fill="EBF5FB" w:val="clear"/>
      </w:pPr>
      <w:r>
        <w:rPr>
          <w:rFonts w:ascii="微软雅黑" w:hAnsi="微软雅黑" w:eastAsia="微软雅黑"/>
          <w:b w:val="0"/>
          <w:i w:val="0"/>
          <w:sz w:val="22"/>
        </w:rPr>
        <w:t>A 57-year-old male, 80 kg, diagnosed with unstable angina with elevated troponin, GRACE 122, Scr 156 μmol/L, eGFR 43 mL/min/1.73 m². Planned to follow the NSTE-ACS pathway for pharmacologic therapy and to assess the timing of subsequent intervention. The attending physician requests that you, as a clinical pharmacist, provide pharmaceutical recommendations on the overall inpatient regimen for antithrombotic and anti-ischemic therapy.</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8E44AD"/>
        </w:rPr>
        <w:t>Q2 Management of Safety Events During Implementation of Antithrombotic Therapy (Bleeding/Thrombocytopenia/Renal Function Changes)</w:t>
      </w:r>
    </w:p>
    <w:p>
      <w:pPr>
        <w:spacing w:before="80" w:after="120" w:line="408" w:lineRule="auto"/>
        <w:ind w:left="227" w:right="227"/>
        <w:shd w:fill="EBF5FB" w:val="clear"/>
      </w:pPr>
      <w:r>
        <w:rPr>
          <w:rFonts w:ascii="微软雅黑" w:hAnsi="微软雅黑" w:eastAsia="微软雅黑"/>
          <w:b w:val="0"/>
          <w:i w:val="0"/>
          <w:sz w:val="22"/>
        </w:rPr>
        <w:t>On the third day after admission following antithrombotic therapy, the patient developed gingival bleeding with increased subcutaneous ecchymoses. Laboratory tests showed: Hb decreased from 132 g/L to 118 g/L, platelets decreased from 210×10^9/L to 92×10^9/L, and Scr increased from 156 μmol/L to 182 μmol/L (eGFR approximately 37 mL/min/1.73m²). The attending physician asks you, as a clinical pharmacist, to provide recommendations on management of the current medications and subsequent medication plans.</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27AE60"/>
        </w:rPr>
        <w:t>Q3  Secondary Prevention and Medication Consolidation at Discharge (An Individualized Long-Term Plan Under Limited Medication Availability)</w:t>
      </w:r>
    </w:p>
    <w:p>
      <w:pPr>
        <w:spacing w:before="80" w:after="120" w:line="408" w:lineRule="auto"/>
        <w:ind w:left="227" w:right="227"/>
        <w:shd w:fill="EBF5FB" w:val="clear"/>
      </w:pPr>
      <w:r>
        <w:rPr>
          <w:rFonts w:ascii="微软雅黑" w:hAnsi="微软雅黑" w:eastAsia="微软雅黑"/>
          <w:b w:val="0"/>
          <w:i w:val="0"/>
          <w:sz w:val="22"/>
        </w:rPr>
        <w:t>The patient’s symptoms are stable, with planned discharge in 3 days; no PCI was performed. Current renal function: eGFR approximately 43 mL/min/1.73 m²; blood pressure control is suboptimal. The attending physician would like you, as a clinical pharmacist, to provide recommendations on discharge medications and follow-up medication management to reduce recurrent ischemic events while ensuring medication safety.</w:t>
      </w:r>
    </w:p>
    <w:p>
      <w:pPr>
        <w:spacing w:before="80" w:after="40" w:line="336" w:lineRule="auto"/>
      </w:pPr>
      <w:r>
        <w:rPr>
          <w:rFonts w:ascii="微软雅黑" w:hAnsi="微软雅黑" w:eastAsia="微软雅黑"/>
          <w:b w:val="0"/>
          <w:i w:val="0"/>
          <w:color w:val="AAAAAA"/>
          <w:sz w:val="16"/>
        </w:rPr>
        <w:t>Answer Area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2"/>
      </w:pPr>
      <w:r>
        <w:rPr>
          <w:color w:val="D4AC0D"/>
        </w:rPr>
        <w:t>Task 2: Clinical Implementation Documentation (4 points)</w:t>
      </w:r>
    </w:p>
    <w:p>
      <w:pPr>
        <w:spacing w:before="120" w:after="120" w:line="360" w:lineRule="auto"/>
        <w:ind w:left="170" w:right="170"/>
        <w:shd w:fill="FEF9E7" w:val="clear"/>
      </w:pPr>
      <w:r>
        <w:rPr>
          <w:rFonts w:ascii="微软雅黑" w:hAnsi="微软雅黑" w:eastAsia="微软雅黑"/>
          <w:b w:val="0"/>
          <w:i w:val="0"/>
          <w:color w:val="1A4A6B"/>
          <w:sz w:val="20"/>
        </w:rPr>
        <w:t>Task 2: Clinical implementation documentation. Based on the clinical decisions from Task 1, produce documentation that can be executed directly.</w:t>
        <w:br/>
        <w:br/>
        <w:t>Requirements: For any medications referenced in the documentation, the full name and specification as listed in inventory must be used. For medications not in inventory, the documentation must indicate “requires external purchase/temporary compounding” and describe the procurement process.</w:t>
      </w:r>
    </w:p>
    <w:p>
      <w:pPr>
        <w:spacing w:before="120" w:after="80" w:line="336" w:lineRule="auto"/>
      </w:pPr>
      <w:r>
        <w:rPr>
          <w:rFonts w:ascii="微软雅黑" w:hAnsi="微软雅黑" w:eastAsia="微软雅黑"/>
          <w:b/>
          <w:i w:val="0"/>
          <w:color w:val="7D6608"/>
          <w:sz w:val="20"/>
        </w:rPr>
        <w:t>Document Type: Pharmaceutical Care Plan Form</w:t>
      </w:r>
    </w:p>
    <w:p>
      <w:pPr>
        <w:spacing w:before="80" w:after="120" w:line="408" w:lineRule="auto"/>
        <w:ind w:left="227" w:right="227"/>
        <w:shd w:fill="FEF9E7" w:val="clear"/>
      </w:pPr>
      <w:r>
        <w:rPr>
          <w:rFonts w:ascii="微软雅黑" w:hAnsi="微软雅黑" w:eastAsia="微软雅黑"/>
          <w:b w:val="0"/>
          <w:i w:val="0"/>
          <w:sz w:val="22"/>
        </w:rPr>
        <w:t>Based on this patient’s initial admission antithrombotic plus anti-ischemic regimen for “UA/NSTE-ACS complicated by CKD,” develop an inpatient pharmaceutical monitoring document that can be directly implemented by the medical and nursing team, to guide medication administration, laboratory and vital-sign monitoring, and immediate management and escalation reporting when bleeding/thrombocytopenia/changes in renal function occur.</w:t>
      </w:r>
    </w:p>
    <w:p>
      <w:pPr>
        <w:spacing w:before="80" w:after="40" w:line="336" w:lineRule="auto"/>
      </w:pPr>
      <w:r>
        <w:rPr>
          <w:rFonts w:ascii="微软雅黑" w:hAnsi="微软雅黑" w:eastAsia="微软雅黑"/>
          <w:b w:val="0"/>
          <w:i w:val="0"/>
          <w:color w:val="AAAAAA"/>
          <w:sz w:val="16"/>
        </w:rPr>
        <w:t>Response Section (Task 2 Written Document; please complete the entire form)</w:t>
      </w:r>
    </w:p>
    <w:tbl>
      <w:tblPr>
        <w:tblStyle w:val="TableGrid"/>
        <w:tblW w:type="auto" w:w="0"/>
        <w:jc w:val="center"/>
        <w:tblLook w:firstColumn="1" w:firstRow="1" w:lastColumn="0" w:lastRow="0" w:noHBand="0" w:noVBand="1" w:val="04A0"/>
      </w:tblPr>
      <w:tblGrid>
        <w:gridCol w:w="8504"/>
      </w:tblGrid>
      <w:tr>
        <w:trPr>
          <w:trHeight w:val="17600" w:hRule="exact"/>
        </w:trPr>
        <w:tc>
          <w:tcPr>
            <w:tcW w:type="dxa" w:w="8504"/>
            <w:shd w:fill="FFFEF5" w:val="clear"/>
          </w:tcPr>
          <w:p>
            <w:pPr>
              <w:spacing w:before="80"/>
            </w:pPr>
            <w:r/>
          </w:p>
        </w:tc>
      </w:tr>
    </w:tbl>
    <w:p>
      <w:pPr>
        <w:spacing w:after="80"/>
      </w:pPr>
    </w:p>
    <w:sectPr w:rsidR="00FC693F" w:rsidRPr="0006063C" w:rsidSect="00034616">
      <w:head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微软雅黑" w:hAnsi="微软雅黑" w:eastAsia="微软雅黑"/>
        <w:b w:val="0"/>
        <w:i w:val="0"/>
        <w:color w:val="999999"/>
        <w:sz w:val="16"/>
      </w:rPr>
      <w:t>Cross-Specialty Probe v2 — 临床药学综合评估试卷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