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0392B"/>
          <w:sz w:val="32"/>
        </w:rPr>
        <w:t>Cardiology — ACS Antiplatelet/Anticoagulation</w:t>
      </w:r>
    </w:p>
    <w:p>
      <w:pPr>
        <w:spacing w:before="0" w:after="40" w:line="336" w:lineRule="auto"/>
      </w:pPr>
      <w:r>
        <w:rPr>
          <w:rFonts w:ascii="微软雅黑" w:hAnsi="微软雅黑" w:eastAsia="微软雅黑"/>
          <w:b w:val="0"/>
          <w:i w:val="0"/>
          <w:color w:val="999999"/>
          <w:sz w:val="18"/>
        </w:rPr>
        <w:t>Scenario ID: cardio_008 · Task 1: 3 questions + Task 2: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76</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83</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191</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24</w:t>
            </w:r>
          </w:p>
        </w:tc>
        <w:tc>
          <w:tcPr>
            <w:tcW w:type="dxa" w:w="1063"/>
            <w:shd w:fill="ECF0F1" w:val="clear"/>
          </w:tcPr>
          <w:p>
            <w:r>
              <w:t>GRACE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95</w:t>
            </w:r>
          </w:p>
        </w:tc>
        <w:tc>
          <w:tcPr>
            <w:tcW w:type="dxa" w:w="1063"/>
            <w:shd w:fill="ECF0F1" w:val="clear"/>
          </w:tcPr>
          <w:p>
            <w:r>
              <w:t>Troponin</w:t>
            </w:r>
            <w:r>
              <w:rPr>
                <w:rFonts w:ascii="微软雅黑" w:hAnsi="微软雅黑" w:eastAsia="微软雅黑"/>
                <w:b/>
                <w:i w:val="0"/>
                <w:color w:val="7F8C8D"/>
                <w:sz w:val="16"/>
              </w:rPr>
            </w:r>
          </w:p>
        </w:tc>
        <w:tc>
          <w:tcPr>
            <w:tcW w:type="dxa" w:w="1063"/>
          </w:tcPr>
          <w:p>
            <w:r>
              <w:t>Elevated</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Unstable angina (UA)</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assessment questions in conjunction with this hospital’s drug inventory.</w:t>
        <w:br/>
        <w:br/>
        <w:t>Requirements: Any recommended medications must use the full drug name and specification available in the inventory. If a medication outside the inventory is needed, clearly indicate “This medication is not listed in this hospital’s inventory and requires external purchase/temporary compounding,” and provide an in-inventory alternative plan or the acquisition process.</w:t>
      </w:r>
    </w:p>
    <w:p/>
    <w:p>
      <w:pPr>
        <w:pStyle w:val="Heading3"/>
      </w:pPr>
      <w:r>
        <w:rPr>
          <w:color w:val="2980B9"/>
        </w:rPr>
        <w:t>Q1  Initial in-hospital antithrombotic and anti-ischemic regimen planning for UA/NSTE-ACS (with elevated troponin) (with severe renal insufficiency)</w:t>
      </w:r>
    </w:p>
    <w:p>
      <w:pPr>
        <w:spacing w:before="80" w:after="120" w:line="408" w:lineRule="auto"/>
        <w:ind w:left="227" w:right="227"/>
        <w:shd w:fill="EBF5FB" w:val="clear"/>
      </w:pPr>
      <w:r>
        <w:rPr>
          <w:rFonts w:ascii="微软雅黑" w:hAnsi="微软雅黑" w:eastAsia="微软雅黑"/>
          <w:b w:val="0"/>
          <w:i w:val="0"/>
          <w:sz w:val="22"/>
        </w:rPr>
        <w:t>A 76-year-old woman, 83 kg, was admitted with unstable angina pectoris, with elevated troponin and a GRACE score of 95. She has a history of renal insufficiency; on this admission, Scr is 191 μmol/L and eGFR is 24 mL/min/1.73 m². Conservative management with observation is planned. The attending physician asks you, as a clinical pharmacist, to provide complete pharmaceutical recommendations regarding antithrombotic and anti-ischemic therapy after admission.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Bleeding Risk During the Implementation of Antithrombotic Therapy and Regimen Adjustment Under Fluctuating Renal Function</w:t>
      </w:r>
    </w:p>
    <w:p>
      <w:pPr>
        <w:spacing w:before="80" w:after="120" w:line="408" w:lineRule="auto"/>
        <w:ind w:left="227" w:right="227"/>
        <w:shd w:fill="EBF5FB" w:val="clear"/>
      </w:pPr>
      <w:r>
        <w:rPr>
          <w:rFonts w:ascii="微软雅黑" w:hAnsi="微软雅黑" w:eastAsia="微软雅黑"/>
          <w:b w:val="0"/>
          <w:i w:val="0"/>
          <w:sz w:val="22"/>
        </w:rPr>
        <w:t>After admission, antithrombotic therapy was initiated as prescribed. On day 2 of treatment, the patient developed gingival oozing and increased subcutaneous ecchymoses; hemoglobin decreased by 18 g/L compared with admission, platelet count decreased by 35% compared with admission, and Scr rose to 220 μmol/L (urine output remained acceptable). The attending physician requests that you, as a clinical pharmacist, provide recommendations on management of the current medications and subsequent pharmacotherapy.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Integration of a Long-Term Secondary Prevention Medication Regimen (Advanced Age + CKD) and Feasibility of Discharge Medications</w:t>
      </w:r>
    </w:p>
    <w:p>
      <w:pPr>
        <w:spacing w:before="80" w:after="120" w:line="408" w:lineRule="auto"/>
        <w:ind w:left="227" w:right="227"/>
        <w:shd w:fill="EBF5FB" w:val="clear"/>
      </w:pPr>
      <w:r>
        <w:rPr>
          <w:rFonts w:ascii="微软雅黑" w:hAnsi="微软雅黑" w:eastAsia="微软雅黑"/>
          <w:b w:val="0"/>
          <w:i w:val="0"/>
          <w:sz w:val="22"/>
        </w:rPr>
        <w:t>The patient’s chest pain has been relieved. Discharge is planned in 3 days, with continuation of conservative management. Current renal function is stable with an eGFR of approximately 24 mL/min/1.73 m². The attending physician requests that you, as a clinical pharmacist, provide pharmaceutical recommendations for the patient’s long-term post-discharge cardiovascular secondary prevention medications and help optimize a medication regimen using drugs available at this hospital.</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execution documentation. Based on the clinical decision-making in Task 1, produce documentation that can be directly implemented.</w:t>
        <w:br/>
        <w:br/>
        <w:t>Requirements: Any medications mentioned in the documentation must use the full names and specifications as listed in inventory; medications not in inventory must be labeled in the documentation as “requires external purchase/temporary compounding,” and the procurement process must be described.</w:t>
      </w:r>
    </w:p>
    <w:p>
      <w:pPr>
        <w:spacing w:before="120" w:after="80" w:line="336" w:lineRule="auto"/>
      </w:pPr>
      <w:r>
        <w:rPr>
          <w:rFonts w:ascii="微软雅黑" w:hAnsi="微软雅黑" w:eastAsia="微软雅黑"/>
          <w:b/>
          <w:i w:val="0"/>
          <w:color w:val="7D6608"/>
          <w:sz w:val="20"/>
        </w:rPr>
        <w:t>Document Type: Pharmaceutical Care Plan Form</w:t>
      </w:r>
    </w:p>
    <w:p>
      <w:pPr>
        <w:spacing w:before="80" w:after="120" w:line="408" w:lineRule="auto"/>
        <w:ind w:left="227" w:right="227"/>
        <w:shd w:fill="FEF9E7" w:val="clear"/>
      </w:pPr>
      <w:r>
        <w:rPr>
          <w:rFonts w:ascii="微软雅黑" w:hAnsi="微软雅黑" w:eastAsia="微软雅黑"/>
          <w:b w:val="0"/>
          <w:i w:val="0"/>
          <w:sz w:val="22"/>
        </w:rPr>
        <w:t>Please develop an implementable inpatient pharmaceutical monitoring document based on the admission initial antithrombotic and anti-ischemic treatment decisions for this patient with “UA/NSTE-ACS (elevated troponin) complicated by severe renal insufficiency.” The document should be used to guide the healthcare team in medication administration, dose verification, monitoring, and risk management, and enable rapid regimen adjustments in the event of bleeding/thrombocytopenia/renal function fluctuations.</w:t>
      </w:r>
    </w:p>
    <w:p>
      <w:pPr>
        <w:spacing w:before="80" w:after="40" w:line="336" w:lineRule="auto"/>
      </w:pPr>
      <w:r>
        <w:rPr>
          <w:rFonts w:ascii="微软雅黑" w:hAnsi="微软雅黑" w:eastAsia="微软雅黑"/>
          <w:b w:val="0"/>
          <w:i w:val="0"/>
          <w:color w:val="AAAAAA"/>
          <w:sz w:val="16"/>
        </w:rPr>
        <w:t>Answer Section (Task 2 Documentation —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