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E67E22"/>
          <w:sz w:val="32"/>
        </w:rPr>
        <w:t>Hematology — Chemotherapy Regimen Management</w:t>
      </w:r>
    </w:p>
    <w:p>
      <w:pPr>
        <w:spacing w:before="0" w:after="40" w:line="336" w:lineRule="auto"/>
      </w:pPr>
      <w:r>
        <w:rPr>
          <w:rFonts w:ascii="微软雅黑" w:hAnsi="微软雅黑" w:eastAsia="微软雅黑"/>
          <w:b w:val="0"/>
          <w:i w:val="0"/>
          <w:color w:val="999999"/>
          <w:sz w:val="18"/>
        </w:rPr>
        <w:t>Scenario ID: hema_005 · Task 1: 3 questions + Task 2: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33</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49</w:t>
            </w:r>
          </w:p>
        </w:tc>
        <w:tc>
          <w:tcPr>
            <w:tcW w:type="dxa" w:w="1063"/>
            <w:shd w:fill="ECF0F1" w:val="clear"/>
          </w:tcPr>
          <w:p>
            <w:r>
              <w:t>Height (cm)</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168</w:t>
            </w:r>
          </w:p>
        </w:tc>
      </w:tr>
      <w:tr>
        <w:tc>
          <w:tcPr>
            <w:tcW w:type="dxa" w:w="1063"/>
            <w:shd w:fill="ECF0F1" w:val="clear"/>
          </w:tcPr>
          <w:p>
            <w:r/>
            <w:r>
              <w:rPr>
                <w:rFonts w:ascii="微软雅黑" w:hAnsi="微软雅黑" w:eastAsia="微软雅黑"/>
                <w:b/>
                <w:i w:val="0"/>
                <w:color w:val="7F8C8D"/>
                <w:sz w:val="16"/>
              </w:rPr>
              <w:t>BSA(m²)</w:t>
            </w:r>
          </w:p>
        </w:tc>
        <w:tc>
          <w:tcPr>
            <w:tcW w:type="dxa" w:w="1063"/>
          </w:tcPr>
          <w:p>
            <w:r/>
            <w:r>
              <w:rPr>
                <w:rFonts w:ascii="微软雅黑" w:hAnsi="微软雅黑" w:eastAsia="微软雅黑"/>
                <w:b/>
                <w:i w:val="0"/>
                <w:sz w:val="18"/>
              </w:rPr>
              <w:t>1.51</w:t>
            </w:r>
          </w:p>
        </w:tc>
        <w:tc>
          <w:tcPr>
            <w:tcW w:type="dxa" w:w="1063"/>
            <w:shd w:fill="ECF0F1" w:val="clear"/>
          </w:tcPr>
          <w:p>
            <w:r>
              <w:t>ECOG performance status score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139</w:t>
            </w:r>
          </w:p>
        </w:tc>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40</w:t>
            </w:r>
          </w:p>
        </w:tc>
      </w:tr>
      <w:tr>
        <w:tc>
          <w:tcPr>
            <w:tcW w:type="dxa" w:w="1063"/>
            <w:shd w:fill="ECF0F1" w:val="clear"/>
          </w:tcPr>
          <w:p>
            <w:r/>
            <w:r>
              <w:rPr>
                <w:rFonts w:ascii="微软雅黑" w:hAnsi="微软雅黑" w:eastAsia="微软雅黑"/>
                <w:b/>
                <w:i w:val="0"/>
                <w:color w:val="7F8C8D"/>
                <w:sz w:val="16"/>
              </w:rPr>
              <w:t>ALT(U/L)</w:t>
            </w:r>
          </w:p>
        </w:tc>
        <w:tc>
          <w:tcPr>
            <w:tcW w:type="dxa" w:w="1063"/>
          </w:tcPr>
          <w:p>
            <w:r/>
            <w:r>
              <w:rPr>
                <w:rFonts w:ascii="微软雅黑" w:hAnsi="微软雅黑" w:eastAsia="微软雅黑"/>
                <w:b/>
                <w:i w:val="0"/>
                <w:sz w:val="18"/>
              </w:rPr>
              <w:t>27</w:t>
            </w:r>
          </w:p>
        </w:tc>
        <w:tc>
          <w:tcPr>
            <w:tcW w:type="dxa" w:w="1063"/>
            <w:shd w:fill="ECF0F1" w:val="clear"/>
          </w:tcPr>
          <w:p>
            <w:r/>
            <w:r>
              <w:rPr>
                <w:rFonts w:ascii="微软雅黑" w:hAnsi="微软雅黑" w:eastAsia="微软雅黑"/>
                <w:b/>
                <w:i w:val="0"/>
                <w:color w:val="7F8C8D"/>
                <w:sz w:val="16"/>
              </w:rPr>
              <w:t>AST(U/L)</w:t>
            </w:r>
          </w:p>
        </w:tc>
        <w:tc>
          <w:tcPr>
            <w:tcW w:type="dxa" w:w="1063"/>
          </w:tcPr>
          <w:p>
            <w:r/>
            <w:r>
              <w:rPr>
                <w:rFonts w:ascii="微软雅黑" w:hAnsi="微软雅黑" w:eastAsia="微软雅黑"/>
                <w:b/>
                <w:i w:val="0"/>
                <w:sz w:val="18"/>
              </w:rPr>
              <w:t>42</w:t>
            </w:r>
          </w:p>
        </w:tc>
        <w:tc>
          <w:tcPr>
            <w:tcW w:type="dxa" w:w="1063"/>
            <w:shd w:fill="ECF0F1" w:val="clear"/>
          </w:tcPr>
          <w:p>
            <w:r/>
            <w:r>
              <w:rPr>
                <w:rFonts w:ascii="微软雅黑" w:hAnsi="微软雅黑" w:eastAsia="微软雅黑"/>
                <w:b/>
                <w:i w:val="0"/>
                <w:color w:val="7F8C8D"/>
                <w:sz w:val="16"/>
              </w:rPr>
              <w:t>WBC(×10⁹/L)</w:t>
            </w:r>
          </w:p>
        </w:tc>
        <w:tc>
          <w:tcPr>
            <w:tcW w:type="dxa" w:w="1063"/>
          </w:tcPr>
          <w:p>
            <w:r/>
            <w:r>
              <w:rPr>
                <w:rFonts w:ascii="微软雅黑" w:hAnsi="微软雅黑" w:eastAsia="微软雅黑"/>
                <w:b/>
                <w:i w:val="0"/>
                <w:sz w:val="18"/>
              </w:rPr>
              <w:t>0.83</w:t>
            </w:r>
          </w:p>
        </w:tc>
        <w:tc>
          <w:tcPr>
            <w:tcW w:type="dxa" w:w="1063"/>
            <w:shd w:fill="ECF0F1" w:val="clear"/>
          </w:tcPr>
          <w:p>
            <w:r/>
            <w:r>
              <w:rPr>
                <w:rFonts w:ascii="微软雅黑" w:hAnsi="微软雅黑" w:eastAsia="微软雅黑"/>
                <w:b/>
                <w:i w:val="0"/>
                <w:color w:val="7F8C8D"/>
                <w:sz w:val="16"/>
              </w:rPr>
              <w:t>HGB(g/L)</w:t>
            </w:r>
          </w:p>
        </w:tc>
        <w:tc>
          <w:tcPr>
            <w:tcW w:type="dxa" w:w="1063"/>
          </w:tcPr>
          <w:p>
            <w:r/>
            <w:r>
              <w:rPr>
                <w:rFonts w:ascii="微软雅黑" w:hAnsi="微软雅黑" w:eastAsia="微软雅黑"/>
                <w:b/>
                <w:i w:val="0"/>
                <w:sz w:val="18"/>
              </w:rPr>
              <w:t>69</w:t>
            </w:r>
          </w:p>
        </w:tc>
      </w:tr>
      <w:tr>
        <w:tc>
          <w:tcPr>
            <w:tcW w:type="dxa" w:w="1063"/>
            <w:shd w:fill="ECF0F1" w:val="clear"/>
          </w:tcPr>
          <w:p>
            <w:r/>
            <w:r>
              <w:rPr>
                <w:rFonts w:ascii="微软雅黑" w:hAnsi="微软雅黑" w:eastAsia="微软雅黑"/>
                <w:b/>
                <w:i w:val="0"/>
                <w:color w:val="7F8C8D"/>
                <w:sz w:val="16"/>
              </w:rPr>
              <w:t>PLT(×10⁹/L)</w:t>
            </w:r>
          </w:p>
        </w:tc>
        <w:tc>
          <w:tcPr>
            <w:tcW w:type="dxa" w:w="1063"/>
          </w:tcPr>
          <w:p>
            <w:r/>
            <w:r>
              <w:rPr>
                <w:rFonts w:ascii="微软雅黑" w:hAnsi="微软雅黑" w:eastAsia="微软雅黑"/>
                <w:b/>
                <w:i w:val="0"/>
                <w:sz w:val="18"/>
              </w:rPr>
              <w:t>61</w:t>
            </w:r>
          </w:p>
        </w:tc>
        <w:tc>
          <w:tcPr>
            <w:tcW w:type="dxa" w:w="1063"/>
            <w:shd w:fill="ECF0F1" w:val="clear"/>
          </w:tcPr>
          <w:p>
            <w:r>
              <w:t>Diagnosis</w:t>
            </w:r>
            <w:r>
              <w:rPr>
                <w:rFonts w:ascii="微软雅黑" w:hAnsi="微软雅黑" w:eastAsia="微软雅黑"/>
                <w:b/>
                <w:i w:val="0"/>
                <w:color w:val="7F8C8D"/>
                <w:sz w:val="16"/>
              </w:rPr>
            </w:r>
          </w:p>
        </w:tc>
        <w:tc>
          <w:tcPr>
            <w:tcW w:type="dxa" w:w="1063"/>
          </w:tcPr>
          <w:p>
            <w:r>
              <w:t>Hodgkin lymphoma (HL)</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medication inventory.</w:t>
        <w:br/>
        <w:br/>
        <w:t>Requirements: Recommended medications must use the full drug name and strength/specification as listed in the inventory. If a medication outside the inventory is required, clearly label it as “This medication is not listed in this hospital’s inventory and requires external purchase/temporary compounding,” and provide an in-inventory alternative or the procurement/access process.</w:t>
      </w:r>
    </w:p>
    <w:p/>
    <w:p>
      <w:pPr>
        <w:pStyle w:val="Heading3"/>
      </w:pPr>
      <w:r>
        <w:rPr>
          <w:color w:val="2980B9"/>
        </w:rPr>
        <w:t>Q1  Development of Chemotherapy Regimens and Supportive Care for Hodgkin Lymphoma</w:t>
      </w:r>
    </w:p>
    <w:p>
      <w:pPr>
        <w:spacing w:before="80" w:after="120" w:line="408" w:lineRule="auto"/>
        <w:ind w:left="227" w:right="227"/>
        <w:shd w:fill="EBF5FB" w:val="clear"/>
      </w:pPr>
      <w:r>
        <w:rPr>
          <w:rFonts w:ascii="微软雅黑" w:hAnsi="微软雅黑" w:eastAsia="微软雅黑"/>
          <w:b w:val="0"/>
          <w:i w:val="0"/>
          <w:sz w:val="22"/>
        </w:rPr>
        <w:t>A 33-year-old female diagnosed with Hodgkin lymphoma, ECOG 2. Admission laboratory results: Scr 139 μmol/L, eGFR 40 mL/min/1.73 m²; WBC 0.83×10⁹/L, HGB 69 g/L, PLT 61×10⁹/L. The attending physician plans to initiate first-line systemic therapy as soon as possible while simultaneously optimizing symptomatic and supportive care. As a clinical pharmacist, please provide complete medication recommendations.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Empiric Anti-infective Therapy for Febrile Neutropenia and Individualized Management Based on Renal Function</w:t>
      </w:r>
    </w:p>
    <w:p>
      <w:pPr>
        <w:spacing w:before="80" w:after="120" w:line="408" w:lineRule="auto"/>
        <w:ind w:left="227" w:right="227"/>
        <w:shd w:fill="EBF5FB" w:val="clear"/>
      </w:pPr>
      <w:r>
        <w:rPr>
          <w:rFonts w:ascii="微软雅黑" w:hAnsi="微软雅黑" w:eastAsia="微软雅黑"/>
          <w:b w:val="0"/>
          <w:i w:val="0"/>
          <w:sz w:val="22"/>
        </w:rPr>
        <w:t>On hospital day 2, the patient’s temperature rose to 39.1°C with chills and oral mucosal ulcers; blood pressure was stable. Repeat tests showed: WBC 0.60×10⁹/L (neutrophil percentage not reported), PLT 55×10⁹/L, Scr 150 μmol/L. The physician plans to immediately initiate intravenous anti-infective therapy and add treatment to increase the white blood cell count. As the clinical pharmacist, please provide medication recommendations.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Regimen adjustment in the setting of chemotherapy-induced nausea and vomiting and worsening renal function (including drug interactions and QT risk)</w:t>
      </w:r>
    </w:p>
    <w:p>
      <w:pPr>
        <w:spacing w:before="80" w:after="120" w:line="408" w:lineRule="auto"/>
        <w:ind w:left="227" w:right="227"/>
        <w:shd w:fill="EBF5FB" w:val="clear"/>
      </w:pPr>
      <w:r>
        <w:rPr>
          <w:rFonts w:ascii="微软雅黑" w:hAnsi="微软雅黑" w:eastAsia="微软雅黑"/>
          <w:b w:val="0"/>
          <w:i w:val="0"/>
          <w:sz w:val="22"/>
        </w:rPr>
        <w:t>After anti-infective therapy and leukocyte-boosting treatment, the patient became afebrile. On day 5, systemic therapy is planned to be restarted. On the day of treatment, the patient has a prior history of significant nausea and vomiting and has been receiving intermittent antiemetic therapy after admission. Current Scr is 145 μmol/L, AST is 42 U/L, and PLT is 70×10⁹/L. The physician wishes to develop a peritreatment symptomatic management plan and reduce the risk of rehospitalization; please provide medication recommendations as a clinical pharmacist.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documentation. Based on the clinical decision-making from Task 1, produce documentation that can be directly implemented.</w:t>
        <w:br/>
        <w:br/>
        <w:t>Requirements: Any medications mentioned in the document must use the full name and specification as listed in the inventory. Medications not in the inventory must be labeled in the document as “requires external purchase/temporary compounding,” and the procurement process must be described.</w:t>
      </w:r>
    </w:p>
    <w:p>
      <w:pPr>
        <w:spacing w:before="120" w:after="80" w:line="336" w:lineRule="auto"/>
      </w:pPr>
      <w:r>
        <w:rPr>
          <w:rFonts w:ascii="微软雅黑" w:hAnsi="微软雅黑" w:eastAsia="微软雅黑"/>
          <w:b/>
          <w:i w:val="0"/>
          <w:color w:val="7D6608"/>
          <w:sz w:val="20"/>
        </w:rPr>
        <w:t>Document Type: Execution Record for Empiric Anti-Infective and Supportive Therapy for Febrile Neutropenia (FN)</w:t>
      </w:r>
    </w:p>
    <w:p>
      <w:pPr>
        <w:spacing w:before="80" w:after="120" w:line="408" w:lineRule="auto"/>
        <w:ind w:left="227" w:right="227"/>
        <w:shd w:fill="FEF9E7" w:val="clear"/>
      </w:pPr>
      <w:r>
        <w:rPr>
          <w:rFonts w:ascii="微软雅黑" w:hAnsi="微软雅黑" w:eastAsia="微软雅黑"/>
          <w:b w:val="0"/>
          <w:i w:val="0"/>
          <w:sz w:val="22"/>
        </w:rPr>
        <w:t>Please, based on this patient’s current complete blood count and renal function status, draft a clinical implementation order set for the inpatient team for “empiric anti-infective therapy plus supportive care for febrile neutropenia.” It should be directly usable for placing medical orders and nursing execution, and should reflect individualized dosing/management according to renal function, culture specimen submission, post-treatment monitoring, and an escalation/de-escalation pathway.</w:t>
      </w:r>
    </w:p>
    <w:p>
      <w:pPr>
        <w:spacing w:before="80" w:after="40" w:line="336" w:lineRule="auto"/>
      </w:pPr>
      <w:r>
        <w:rPr>
          <w:rFonts w:ascii="微软雅黑" w:hAnsi="微软雅黑" w:eastAsia="微软雅黑"/>
          <w:b w:val="0"/>
          <w:i w:val="0"/>
          <w:color w:val="AAAAAA"/>
          <w:sz w:val="16"/>
        </w:rPr>
        <w:t>Answer Area (Task 2 Written Response: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