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E67E22"/>
          <w:sz w:val="32"/>
        </w:rPr>
        <w:t>Hematology — Antifungal Therapy for Febrile Neutropenia</w:t>
      </w:r>
    </w:p>
    <w:p>
      <w:pPr>
        <w:spacing w:before="0" w:after="40" w:line="336" w:lineRule="auto"/>
      </w:pPr>
      <w:r>
        <w:rPr>
          <w:rFonts w:ascii="微软雅黑" w:hAnsi="微软雅黑" w:eastAsia="微软雅黑"/>
          <w:b w:val="0"/>
          <w:i w:val="0"/>
          <w:color w:val="999999"/>
          <w:sz w:val="18"/>
        </w:rPr>
        <w:t>Scenario ID: hema_001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40</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81</w:t>
            </w:r>
          </w:p>
        </w:tc>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1.95</w:t>
            </w:r>
          </w:p>
        </w:tc>
      </w:tr>
      <w:tr>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57</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108</w:t>
            </w:r>
          </w:p>
        </w:tc>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78</w:t>
            </w:r>
          </w:p>
        </w:tc>
        <w:tc>
          <w:tcPr>
            <w:tcW w:type="dxa" w:w="1063"/>
            <w:shd w:fill="ECF0F1" w:val="clear"/>
          </w:tcPr>
          <w:p>
            <w:r/>
            <w:r>
              <w:rPr>
                <w:rFonts w:ascii="微软雅黑" w:hAnsi="微软雅黑" w:eastAsia="微软雅黑"/>
                <w:b/>
                <w:i w:val="0"/>
                <w:color w:val="7F8C8D"/>
                <w:sz w:val="16"/>
              </w:rPr>
              <w:t>AST(U/L)</w:t>
            </w:r>
          </w:p>
        </w:tc>
        <w:tc>
          <w:tcPr>
            <w:tcW w:type="dxa" w:w="1063"/>
          </w:tcPr>
          <w:p>
            <w:r/>
            <w:r>
              <w:rPr>
                <w:rFonts w:ascii="微软雅黑" w:hAnsi="微软雅黑" w:eastAsia="微软雅黑"/>
                <w:b/>
                <w:i w:val="0"/>
                <w:sz w:val="18"/>
              </w:rPr>
              <w:t>32</w:t>
            </w:r>
          </w:p>
        </w:tc>
      </w:tr>
      <w:tr>
        <w:tc>
          <w:tcPr>
            <w:tcW w:type="dxa" w:w="1063"/>
            <w:shd w:fill="ECF0F1" w:val="clear"/>
          </w:tcPr>
          <w:p>
            <w:r/>
            <w:r>
              <w:rPr>
                <w:rFonts w:ascii="微软雅黑" w:hAnsi="微软雅黑" w:eastAsia="微软雅黑"/>
                <w:b/>
                <w:i w:val="0"/>
                <w:color w:val="7F8C8D"/>
                <w:sz w:val="16"/>
              </w:rPr>
              <w:t>PLT(×10⁹/L)</w:t>
            </w:r>
          </w:p>
        </w:tc>
        <w:tc>
          <w:tcPr>
            <w:tcW w:type="dxa" w:w="1063"/>
          </w:tcPr>
          <w:p>
            <w:r/>
            <w:r>
              <w:rPr>
                <w:rFonts w:ascii="微软雅黑" w:hAnsi="微软雅黑" w:eastAsia="微软雅黑"/>
                <w:b/>
                <w:i w:val="0"/>
                <w:sz w:val="18"/>
              </w:rPr>
              <w:t>43</w:t>
            </w:r>
          </w:p>
        </w:tc>
        <w:tc>
          <w:tcPr>
            <w:tcW w:type="dxa" w:w="1063"/>
            <w:shd w:fill="ECF0F1" w:val="clear"/>
          </w:tcPr>
          <w:p>
            <w:r/>
            <w:r>
              <w:rPr>
                <w:rFonts w:ascii="微软雅黑" w:hAnsi="微软雅黑" w:eastAsia="微软雅黑"/>
                <w:b/>
                <w:i w:val="0"/>
                <w:color w:val="7F8C8D"/>
                <w:sz w:val="16"/>
              </w:rPr>
              <w:t>ANC(×10⁹/L)</w:t>
            </w:r>
          </w:p>
        </w:tc>
        <w:tc>
          <w:tcPr>
            <w:tcW w:type="dxa" w:w="1063"/>
          </w:tcPr>
          <w:p>
            <w:r/>
            <w:r>
              <w:rPr>
                <w:rFonts w:ascii="微软雅黑" w:hAnsi="微软雅黑" w:eastAsia="微软雅黑"/>
                <w:b/>
                <w:i w:val="0"/>
                <w:sz w:val="18"/>
              </w:rPr>
              <w:t>0.085</w:t>
            </w:r>
          </w:p>
        </w:tc>
        <w:tc>
          <w:tcPr>
            <w:tcW w:type="dxa" w:w="1063"/>
            <w:shd w:fill="ECF0F1" w:val="clear"/>
          </w:tcPr>
          <w:p>
            <w:r>
              <w:t>MASCC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22</w:t>
            </w:r>
          </w:p>
        </w:tc>
        <w:tc>
          <w:tcPr>
            <w:tcW w:type="dxa" w:w="1063"/>
            <w:shd w:fill="ECF0F1" w:val="clear"/>
          </w:tcPr>
          <w:p>
            <w:r>
              <w:t>Neutropenia has persisted for (days).</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11</w:t>
            </w:r>
          </w:p>
        </w:tc>
      </w:tr>
      <w:tr>
        <w:tc>
          <w:tcPr>
            <w:tcW w:type="dxa" w:w="1063"/>
            <w:shd w:fill="ECF0F1" w:val="clear"/>
          </w:tcPr>
          <w:p>
            <w:r>
              <w:t>Highest body temperature (°C)</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38.9</w:t>
            </w:r>
          </w:p>
        </w:tc>
        <w:tc>
          <w:tcPr>
            <w:tcW w:type="dxa" w:w="1063"/>
            <w:shd w:fill="ECF0F1" w:val="clear"/>
          </w:tcPr>
          <w:p>
            <w:r>
              <w:t>Diagnosis</w:t>
            </w:r>
            <w:r>
              <w:rPr>
                <w:rFonts w:ascii="微软雅黑" w:hAnsi="微软雅黑" w:eastAsia="微软雅黑"/>
                <w:b/>
                <w:i w:val="0"/>
                <w:color w:val="7F8C8D"/>
                <w:sz w:val="16"/>
              </w:rPr>
            </w:r>
          </w:p>
        </w:tc>
        <w:tc>
          <w:tcPr>
            <w:tcW w:type="dxa" w:w="1063"/>
          </w:tcPr>
          <w:p>
            <w:r>
              <w:t>Post-chemotherapy for Hodgkin lymphoma (HL)</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evaluation. Please complete the following comprehensive assessment questions in conjunction with the hospital’s medication inventory.</w:t>
      </w:r>
    </w:p>
    <w:p/>
    <w:p>
      <w:pPr>
        <w:pStyle w:val="Heading3"/>
      </w:pPr>
      <w:r>
        <w:rPr>
          <w:color w:val="2980B9"/>
        </w:rPr>
        <w:t>Q1  Development of an Inpatient Empiric Anti-Infective Regimen for Febrile Neutropenia (FN)</w:t>
      </w:r>
    </w:p>
    <w:p>
      <w:pPr>
        <w:spacing w:before="80" w:after="120" w:line="408" w:lineRule="auto"/>
        <w:ind w:left="227" w:right="227"/>
        <w:shd w:fill="EBF5FB" w:val="clear"/>
      </w:pPr>
      <w:r>
        <w:rPr>
          <w:rFonts w:ascii="微软雅黑" w:hAnsi="微软雅黑" w:eastAsia="微软雅黑"/>
          <w:b w:val="0"/>
          <w:i w:val="0"/>
          <w:sz w:val="22"/>
        </w:rPr>
        <w:t>A 40-year-old female, day 11 after chemotherapy for Hodgkin lymphoma, with persistent granulocytopenia (ANC 0.085×10^9/L) and a maximum temperature of 38.9°C. Current eGFR is 108 mL/min/1.73m², ALT 78 U/L, PLT 43×10^9/L, and MASCC score 22. The attending physician plans to initiate empiric anti-infective therapy and requests that you, as the clinical pharmacist, provide comprehensive pharmaceutical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Initiation of Diagnostic-Driven/Empiric Antifungal Therapy and Individualized Antifungal Use in the Setting of Persistent Fever</w:t>
      </w:r>
    </w:p>
    <w:p>
      <w:pPr>
        <w:spacing w:before="80" w:after="120" w:line="408" w:lineRule="auto"/>
        <w:ind w:left="227" w:right="227"/>
        <w:shd w:fill="EBF5FB" w:val="clear"/>
      </w:pPr>
      <w:r>
        <w:rPr>
          <w:rFonts w:ascii="微软雅黑" w:hAnsi="微软雅黑" w:eastAsia="微软雅黑"/>
          <w:b w:val="0"/>
          <w:i w:val="0"/>
          <w:sz w:val="22"/>
        </w:rPr>
        <w:t>On day 4 after initiation of inpatient intravenous broad-spectrum antibacterial therapy, the patient continued to have daily fever (Tmax 38.5–39.0°C). Blood cultures did not identify a definite pathogen. Chest CT showed multiple nodules in both lungs with a “halo sign,” suspicious for invasive mold infection. Serum GM was 1.2 (positive), and the G test was negative. The attending physician asks you, as a clinical pharmacist, to provide comprehensive recommendations for the subsequent anti-infective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Treatment regimen adjustments due to adverse reactions/drug interactions during antifungal therapy</w:t>
      </w:r>
    </w:p>
    <w:p>
      <w:pPr>
        <w:spacing w:before="80" w:after="120" w:line="408" w:lineRule="auto"/>
        <w:ind w:left="227" w:right="227"/>
        <w:shd w:fill="EBF5FB" w:val="clear"/>
      </w:pPr>
      <w:r>
        <w:rPr>
          <w:rFonts w:ascii="微软雅黑" w:hAnsi="微软雅黑" w:eastAsia="微软雅黑"/>
          <w:b w:val="0"/>
          <w:i w:val="0"/>
          <w:sz w:val="22"/>
        </w:rPr>
        <w:t>On day 6 after initiation of antifungal therapy, the patient’s body temperature decreased compared with before, but marked fatigue and poor appetite developed. Repeat testing showed ALT 220 U/L and AST 115 U/L. Blood pressure was stable, and eGFR remained normal. The hematology team plans to resume the next cycle of treatment in the near term (including antineoplastic agents and corticosteroids). The attending physician requests that you, as a clinical pharmacist, provide recommendations regarding continuation of and adjustments to the current medications.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 xml:space="preserve">Task 2: Clinical execution documentation. Please generate directly executable documentation based on the clinical decisions from Task 1.  </w:t>
        <w:br/>
        <w:t>Requirements: Any medications mentioned in the document must use the full inventory-listed name and specification. For medications not in inventory, label them in the document as “requires external purchase/temporary compounding” and describe the procurement process.</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Based on this patient’s hospitalization course for empirical anti-infective treatment of febrile neutropenia and diagnostic-driven antifungal therapy for suspected invasive aspergillosis, develop an immediately implementable pharmaceutical monitoring document for the ward medical and nursing team. The document should be used to guide medication administration verification, efficacy assessment, adverse reaction identification and management, and adjustment of the antifungal regimen with escalation/communication reporting when liver enzyme abnormalities occur.</w:t>
      </w:r>
    </w:p>
    <w:p>
      <w:pPr>
        <w:spacing w:before="80" w:after="40" w:line="336" w:lineRule="auto"/>
      </w:pPr>
      <w:r>
        <w:rPr>
          <w:rFonts w:ascii="微软雅黑" w:hAnsi="微软雅黑" w:eastAsia="微软雅黑"/>
          <w:b w:val="0"/>
          <w:i w:val="0"/>
          <w:color w:val="AAAAAA"/>
          <w:sz w:val="16"/>
        </w:rPr>
        <w:t>Response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