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E67E22"/>
          <w:sz w:val="32"/>
        </w:rPr>
        <w:t>Hematology — Targeted Therapy Monitoring</w:t>
      </w:r>
    </w:p>
    <w:p>
      <w:pPr>
        <w:spacing w:before="0" w:after="40" w:line="336" w:lineRule="auto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Scenario ID: hema_010 · Task 1 × 3 questions + Task 2 × 1 question · Total: 16 points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/>
          <w:i w:val="0"/>
          <w:color w:val="E74C3C"/>
          <w:sz w:val="18"/>
        </w:rPr>
        <w:t>Please provide complete answers in the [Answer Area] for each question.</w:t>
      </w:r>
    </w:p>
    <w:p>
      <w:pPr>
        <w:spacing w:before="80" w:after="120" w:line="336" w:lineRule="auto"/>
      </w:pPr>
      <w:r>
        <w:rPr>
          <w:rFonts w:ascii="微软雅黑" w:hAnsi="微软雅黑" w:eastAsia="微软雅黑"/>
          <w:b/>
          <w:i w:val="0"/>
          <w:color w:val="16A085"/>
          <w:sz w:val="20"/>
        </w:rPr>
        <w:t>Basic 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063"/>
            <w:shd w:fill="ECF0F1" w:val="clear"/>
          </w:tcPr>
          <w:p>
            <w:r>
              <w:t>Age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21</w:t>
            </w:r>
          </w:p>
        </w:tc>
        <w:tc>
          <w:tcPr>
            <w:tcW w:type="dxa" w:w="1063"/>
            <w:shd w:fill="ECF0F1" w:val="clear"/>
          </w:tcPr>
          <w:p>
            <w:r>
              <w:t>Sex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Female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>
              <w:t>Body weight (kg)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51</w:t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BSA(m²)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1.51</w:t>
            </w:r>
          </w:p>
        </w:tc>
      </w:tr>
      <w:tr>
        <w:tc>
          <w:tcPr>
            <w:tcW w:type="dxa" w:w="1063"/>
            <w:shd w:fill="ECF0F1" w:val="clear"/>
          </w:tcPr>
          <w:p>
            <w:r>
              <w:t>Creatinine (μmol/L)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133</w:t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eGFR(mL/min/1.73m²)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46</w:t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ALT(U/L)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90</w:t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AST(U/L)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15</w:t>
            </w:r>
          </w:p>
        </w:tc>
      </w:tr>
      <w:tr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PLT(×10⁹/L)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160</w:t>
            </w:r>
          </w:p>
        </w:tc>
        <w:tc>
          <w:tcPr>
            <w:tcW w:type="dxa" w:w="1063"/>
            <w:shd w:fill="ECF0F1" w:val="clear"/>
          </w:tcPr>
          <w:p>
            <w:r>
              <w:t>Current targeted therapy regimen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Imatinib 400 mg qd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>
              <w:t>Diagnosis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Chronic Myeloid Leukemia (CML)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</w:tcPr>
          <w:p/>
        </w:tc>
        <w:tc>
          <w:tcPr>
            <w:tcW w:type="dxa" w:w="1063"/>
          </w:tcPr>
          <w:p/>
        </w:tc>
      </w:tr>
    </w:tbl>
    <w:p/>
    <w:p>
      <w:pPr>
        <w:pStyle w:val="Heading2"/>
      </w:pPr>
      <w:r>
        <w:rPr>
          <w:color w:val="2980B9"/>
        </w:rPr>
        <w:t>Task 1: Comprehensive Clinical Pharmacy Assessment (12 points)</w:t>
      </w:r>
    </w:p>
    <w:p>
      <w:pPr>
        <w:spacing w:before="120" w:after="120" w:line="360" w:lineRule="auto"/>
        <w:ind w:left="170" w:right="170"/>
        <w:shd w:fill="EAF2FF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1: Based on a comprehensive clinical pharmacy assessment, and in conjunction with this hospital’s medication inventory, complete the following comprehensive assessment items.</w:t>
        <w:br/>
        <w:br/>
        <w:t>Requirements: Recommended medications must use the full drug name and specification as listed in the inventory; if a medication not included in the hospital inventory is required, it must be clearly marked as “This drug is not listed in this hospital’s inventory and requires external purchase/temporary compounding,” and an in-inventory alternative plan or the procurement/acquisition process must be provided.</w:t>
      </w:r>
    </w:p>
    <w:p/>
    <w:p>
      <w:pPr>
        <w:pStyle w:val="Heading3"/>
      </w:pPr>
      <w:r>
        <w:rPr>
          <w:color w:val="2980B9"/>
        </w:rPr>
        <w:t>Q1  Individualized Targeted Therapy and Medication Optimization in the Setting of Abnormal Hepatic and Renal Function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A 21-year-old female with CML is currently taking oral imatinib 400 mg qd. On admission for follow-up testing: Scr 133 μmol/L, eGFR 46 mL/min/1.73 m²; ALT 90 U/L, AST 15 U/L; PLT 160×10⁹/L. The attending physician plans to continue the current treatment and add supportive therapy during hospitalization. As a clinical pharmacist, please provide recommendations for her overall medication regimen.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8E44AD"/>
        </w:rPr>
        <w:t>Q2  Empirical Antibacterial Therapy for Concomitant Infection and Dosing Management in the Setting of Renal Impairment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On hospital day 5, the patient developed fever (38.9°C), sore throat, and fatigue. Complete blood count showed neutrophils 0.7×10⁹/L and platelets 120×10⁹/L. Serum creatinine was 145 μmol/L (increased compared with prior), and blood pressure was stable. The attending physician plans to initiate immediate empiric intravenous anti-infective therapy and continue the original targeted therapy. As a clinical pharmacist, please provide medication recommendations.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27AE60"/>
        </w:rPr>
        <w:t>Q3 Management of drug-related liver injury/interactions during hospitalization and antifungal strategy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During anti-infective therapy, the patient continued to have intermittent fever, and imaging suggested a suspected pulmonary fungal infection. The department plans to add an oral antifungal agent. Repeat tests at this time showed: ALT 210 U/L, AST 85 U/L, TBil 28 μmol/L; Scr 150 μmol/L. As a clinical pharmacist, please provide recommendations for subsequent medication therapy.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Area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2"/>
      </w:pPr>
      <w:r>
        <w:rPr>
          <w:color w:val="D4AC0D"/>
        </w:rPr>
        <w:t>Task 2: Clinical Implementation Documentation (4 points)</w:t>
      </w:r>
    </w:p>
    <w:p>
      <w:pPr>
        <w:spacing w:before="120" w:after="120" w:line="360" w:lineRule="auto"/>
        <w:ind w:left="170" w:right="170"/>
        <w:shd w:fill="FEF9E7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2: Clinical Execution Documentation. Please generate directly actionable documentation based on the clinical decisions from Task 1.</w:t>
        <w:br/>
        <w:br/>
        <w:t>Requirements: Medications mentioned in the documentation must use the full name and specification as listed in inventory; for medications not in inventory, label them in the documentation as “requires external purchase/temporary compounding” and describe the procurement process.</w:t>
      </w:r>
    </w:p>
    <w:p>
      <w:pPr>
        <w:spacing w:before="120" w:after="80" w:line="336" w:lineRule="auto"/>
      </w:pPr>
      <w:r>
        <w:rPr>
          <w:rFonts w:ascii="微软雅黑" w:hAnsi="微软雅黑" w:eastAsia="微软雅黑"/>
          <w:b/>
          <w:i w:val="0"/>
          <w:color w:val="7D6608"/>
          <w:sz w:val="20"/>
        </w:rPr>
        <w:t>Document Type: Dose Adjustment Decision Table</w:t>
      </w:r>
    </w:p>
    <w:p>
      <w:pPr>
        <w:spacing w:before="80" w:after="120" w:line="408" w:lineRule="auto"/>
        <w:ind w:left="227" w:right="227"/>
        <w:shd w:fill="FEF9E7" w:val="clear"/>
      </w:pPr>
      <w:r>
        <w:rPr>
          <w:rFonts w:ascii="微软雅黑" w:hAnsi="微软雅黑" w:eastAsia="微软雅黑"/>
          <w:b w:val="0"/>
          <w:i w:val="0"/>
          <w:sz w:val="22"/>
        </w:rPr>
        <w:t>Please develop an immediately actionable “Medication Adjustment and Switching” decision document for the inpatient care team based on this patient’s current CML targeted therapy, empiric anti-infective management for febrile neutropenia, and the inpatient scenario of suspected fungal infection with marked deterioration in liver function/potential drug–drug interactions. The document should guide medication administration, holding, dose reduction, substitution, and reassessment workflows under different laboratory results and clinical trigger conditions.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2 Written Response: Please complete the form in full)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17600" w:hRule="exact"/>
        </w:trPr>
        <w:tc>
          <w:tcPr>
            <w:tcW w:type="dxa" w:w="8504"/>
            <w:shd w:fill="FFFEF5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i w:val="0"/>
        <w:color w:val="999999"/>
        <w:sz w:val="16"/>
      </w:rPr>
      <w:t>Cross-Specialty Probe v2 — 临床药学综合评估试卷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