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0392B"/>
          <w:sz w:val="32"/>
        </w:rPr>
        <w:t>Cardiology — Pharmacologic Treatment of Heart Failure</w:t>
      </w:r>
    </w:p>
    <w:p>
      <w:pPr>
        <w:spacing w:before="0" w:after="40" w:line="336" w:lineRule="auto"/>
      </w:pPr>
      <w:r>
        <w:rPr>
          <w:rFonts w:ascii="微软雅黑" w:hAnsi="微软雅黑" w:eastAsia="微软雅黑"/>
          <w:b w:val="0"/>
          <w:i w:val="0"/>
          <w:color w:val="999999"/>
          <w:sz w:val="18"/>
        </w:rPr>
        <w:t>Scenario ID: cardio_015 · Task 1 × 3 questions + Task 2 × 1 question · Total: 16 points</w:t>
      </w:r>
    </w:p>
    <w:p>
      <w:pPr>
        <w:spacing w:before="0" w:after="120" w:line="336" w:lineRule="auto"/>
      </w:pPr>
      <w:r>
        <w:rPr>
          <w:rFonts w:ascii="微软雅黑" w:hAnsi="微软雅黑" w:eastAsia="微软雅黑"/>
          <w:b/>
          <w:i w:val="0"/>
          <w:color w:val="E74C3C"/>
          <w:sz w:val="18"/>
        </w:rPr>
        <w:t>Please provide complete answers in the [Answer Area] for each question.</w:t>
      </w:r>
    </w:p>
    <w:p>
      <w:pPr>
        <w:spacing w:before="80" w:after="120" w:line="336" w:lineRule="auto"/>
      </w:pPr>
      <w:r>
        <w:rPr>
          <w:rFonts w:ascii="微软雅黑" w:hAnsi="微软雅黑" w:eastAsia="微软雅黑"/>
          <w:b/>
          <w:i w:val="0"/>
          <w:color w:val="16A085"/>
          <w:sz w:val="20"/>
        </w:rPr>
        <w:t>Basic Patient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3"/>
        <w:gridCol w:w="1063"/>
        <w:gridCol w:w="1063"/>
        <w:gridCol w:w="1063"/>
        <w:gridCol w:w="1063"/>
        <w:gridCol w:w="1063"/>
        <w:gridCol w:w="1063"/>
        <w:gridCol w:w="1063"/>
      </w:tblGrid>
      <w:tr>
        <w:tc>
          <w:tcPr>
            <w:tcW w:type="dxa" w:w="1063"/>
            <w:shd w:fill="ECF0F1" w:val="clear"/>
          </w:tcPr>
          <w:p>
            <w:r>
              <w:t>Age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76</w:t>
            </w:r>
          </w:p>
        </w:tc>
        <w:tc>
          <w:tcPr>
            <w:tcW w:type="dxa" w:w="1063"/>
            <w:shd w:fill="ECF0F1" w:val="clear"/>
          </w:tcPr>
          <w:p>
            <w:r>
              <w:t>Sex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>
              <w:t>Female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</w:r>
          </w:p>
        </w:tc>
        <w:tc>
          <w:tcPr>
            <w:tcW w:type="dxa" w:w="1063"/>
            <w:shd w:fill="ECF0F1" w:val="clear"/>
          </w:tcPr>
          <w:p>
            <w:r>
              <w:t>Body weight (kg)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82</w:t>
            </w:r>
          </w:p>
        </w:tc>
        <w:tc>
          <w:tcPr>
            <w:tcW w:type="dxa" w:w="1063"/>
            <w:shd w:fill="ECF0F1" w:val="clear"/>
          </w:tcPr>
          <w:p>
            <w:r>
              <w:t>Creatinine (μmol/L)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193</w:t>
            </w:r>
          </w:p>
        </w:tc>
      </w:tr>
      <w:tr>
        <w:tc>
          <w:tcPr>
            <w:tcW w:type="dxa" w:w="1063"/>
            <w:shd w:fill="ECF0F1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  <w:t>eGFR(mL/min/1.73m²)</w:t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23</w:t>
            </w:r>
          </w:p>
        </w:tc>
        <w:tc>
          <w:tcPr>
            <w:tcW w:type="dxa" w:w="1063"/>
            <w:shd w:fill="ECF0F1" w:val="clear"/>
          </w:tcPr>
          <w:p>
            <w:r>
              <w:t>Serum potassium (mmol/L)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3.8</w:t>
            </w:r>
          </w:p>
        </w:tc>
        <w:tc>
          <w:tcPr>
            <w:tcW w:type="dxa" w:w="1063"/>
            <w:shd w:fill="ECF0F1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  <w:t>LVEF(%)</w:t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32</w:t>
            </w:r>
          </w:p>
        </w:tc>
        <w:tc>
          <w:tcPr>
            <w:tcW w:type="dxa" w:w="1063"/>
            <w:shd w:fill="ECF0F1" w:val="clear"/>
          </w:tcPr>
          <w:p>
            <w:r>
              <w:t>NYHA functional classification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II</w:t>
            </w:r>
          </w:p>
        </w:tc>
      </w:tr>
      <w:tr>
        <w:tc>
          <w:tcPr>
            <w:tcW w:type="dxa" w:w="1063"/>
            <w:shd w:fill="ECF0F1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  <w:t>NT-proBNP(pg/mL)</w:t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1800</w:t>
            </w:r>
          </w:p>
        </w:tc>
        <w:tc>
          <w:tcPr>
            <w:tcW w:type="dxa" w:w="1063"/>
            <w:shd w:fill="ECF0F1" w:val="clear"/>
          </w:tcPr>
          <w:p>
            <w:r>
              <w:t>Diagnosis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>
              <w:t>Chronic heart failure (HFrEF, LVEF 32%, NYHA class II)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</w:r>
          </w:p>
        </w:tc>
        <w:tc>
          <w:tcPr>
            <w:tcW w:type="dxa" w:w="1063"/>
          </w:tcPr>
          <w:p/>
        </w:tc>
        <w:tc>
          <w:tcPr>
            <w:tcW w:type="dxa" w:w="1063"/>
          </w:tcPr>
          <w:p/>
        </w:tc>
        <w:tc>
          <w:tcPr>
            <w:tcW w:type="dxa" w:w="1063"/>
          </w:tcPr>
          <w:p/>
        </w:tc>
        <w:tc>
          <w:tcPr>
            <w:tcW w:type="dxa" w:w="1063"/>
          </w:tcPr>
          <w:p/>
        </w:tc>
      </w:tr>
    </w:tbl>
    <w:p/>
    <w:p>
      <w:pPr>
        <w:pStyle w:val="Heading2"/>
      </w:pPr>
      <w:r>
        <w:rPr>
          <w:color w:val="2980B9"/>
        </w:rPr>
        <w:t>Task 1: Comprehensive Clinical Pharmacy Assessment (12 points)</w:t>
      </w:r>
    </w:p>
    <w:p>
      <w:pPr>
        <w:spacing w:before="120" w:after="120" w:line="360" w:lineRule="auto"/>
        <w:ind w:left="170" w:right="170"/>
        <w:shd w:fill="EAF2FF" w:val="clear"/>
      </w:pPr>
      <w:r>
        <w:rPr>
          <w:rFonts w:ascii="微软雅黑" w:hAnsi="微软雅黑" w:eastAsia="微软雅黑"/>
          <w:b w:val="0"/>
          <w:i w:val="0"/>
          <w:color w:val="1A4A6B"/>
          <w:sz w:val="20"/>
        </w:rPr>
        <w:t>Task 1: Conduct a comprehensive clinical pharmacy assessment. Please complete the following comprehensive assessment questions in conjunction with this hospital’s drug inventory.</w:t>
        <w:br/>
        <w:br/>
        <w:t>Requirements: Recommended medications must use the full drug name and specification as listed in the inventory. If a non-inventory medication is required, clearly label it as “This medication is not listed in this hospital’s inventory and requires external purchase/temporary compounding,” and provide an in-inventory alternative or the procurement process.</w:t>
      </w:r>
    </w:p>
    <w:p/>
    <w:p>
      <w:pPr>
        <w:pStyle w:val="Heading3"/>
      </w:pPr>
      <w:r>
        <w:rPr>
          <w:color w:val="2980B9"/>
        </w:rPr>
        <w:t>Q1  Developing a foundational inpatient medication regimen for HFrEF and individualization in the setting of impaired renal function</w:t>
      </w:r>
    </w:p>
    <w:p>
      <w:pPr>
        <w:spacing w:before="80" w:after="120" w:line="408" w:lineRule="auto"/>
        <w:ind w:left="227" w:right="227"/>
        <w:shd w:fill="EBF5FB" w:val="clear"/>
      </w:pPr>
      <w:r>
        <w:rPr>
          <w:rFonts w:ascii="微软雅黑" w:hAnsi="微软雅黑" w:eastAsia="微软雅黑"/>
          <w:b w:val="0"/>
          <w:i w:val="0"/>
          <w:sz w:val="22"/>
        </w:rPr>
        <w:t>A 76-year-old female with chronic heart failure (HFrEF, LVEF 32%, NYHA class II), NT-proBNP 1800 pg/mL. Prior medications unknown. Admission laboratory tests: Scr 193 μmol/L, eGFR 23 mL/min/1.73 m², K+ 3.8 mmol/L, body weight 82 kg. The attending physician would like you, as a clinical pharmacist, to provide standardized inpatient pharmacotherapy recommendations for this patient based on the medications currently available in our hospital.</w:t>
      </w:r>
    </w:p>
    <w:p>
      <w:pPr>
        <w:spacing w:before="80" w:after="40" w:line="336" w:lineRule="auto"/>
      </w:pPr>
      <w:r>
        <w:rPr>
          <w:rFonts w:ascii="微软雅黑" w:hAnsi="微软雅黑" w:eastAsia="微软雅黑"/>
          <w:b w:val="0"/>
          <w:i w:val="0"/>
          <w:color w:val="AAAAAA"/>
          <w:sz w:val="16"/>
        </w:rPr>
        <w:t>Answer Section (Task 1 Comprehensive Assessment)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rPr>
          <w:trHeight w:val="6400" w:hRule="exact"/>
        </w:trPr>
        <w:tc>
          <w:tcPr>
            <w:tcW w:type="dxa" w:w="8504"/>
            <w:shd w:fill="FAFAFA" w:val="clear"/>
          </w:tcPr>
          <w:p>
            <w:pPr>
              <w:spacing w:before="80"/>
            </w:pPr>
            <w:r/>
          </w:p>
        </w:tc>
      </w:tr>
    </w:tbl>
    <w:p>
      <w:pPr>
        <w:spacing w:after="80"/>
      </w:pPr>
    </w:p>
    <w:p/>
    <w:p>
      <w:pPr>
        <w:pStyle w:val="Heading3"/>
      </w:pPr>
      <w:r>
        <w:rPr>
          <w:color w:val="8E44AD"/>
        </w:rPr>
        <w:t>Q2 Management of Issues During Protocol Implementation: Adjustments in the Setting of Fluctuating Renal Function and the Risk of Hyperkalemia</w:t>
      </w:r>
    </w:p>
    <w:p>
      <w:pPr>
        <w:spacing w:before="80" w:after="120" w:line="408" w:lineRule="auto"/>
        <w:ind w:left="227" w:right="227"/>
        <w:shd w:fill="EBF5FB" w:val="clear"/>
      </w:pPr>
      <w:r>
        <w:rPr>
          <w:rFonts w:ascii="微软雅黑" w:hAnsi="微软雅黑" w:eastAsia="微软雅黑"/>
          <w:b w:val="0"/>
          <w:i w:val="0"/>
          <w:sz w:val="22"/>
        </w:rPr>
        <w:t>On day 5 after initiating the indicated heart failure medications as prescribed and starting diuretic therapy, the patient reported fatigue and dizziness. Repeat tests showed: Scr 240 μmol/L, eGFR 17 mL/min/1.73 m², K+ 5.7 mmol/L; blood pressure 92/58 mmHg, heart rate 58 beats/min. The attending physician asks you, as a clinical pharmacist, to provide recommendations on pharmaceutical management of the current therapy.</w:t>
      </w:r>
    </w:p>
    <w:p>
      <w:pPr>
        <w:spacing w:before="80" w:after="40" w:line="336" w:lineRule="auto"/>
      </w:pPr>
      <w:r>
        <w:rPr>
          <w:rFonts w:ascii="微软雅黑" w:hAnsi="微软雅黑" w:eastAsia="微软雅黑"/>
          <w:b w:val="0"/>
          <w:i w:val="0"/>
          <w:color w:val="AAAAAA"/>
          <w:sz w:val="16"/>
        </w:rPr>
        <w:t>Answer Section (Task 1 Comprehensive Assessment)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rPr>
          <w:trHeight w:val="6400" w:hRule="exact"/>
        </w:trPr>
        <w:tc>
          <w:tcPr>
            <w:tcW w:type="dxa" w:w="8504"/>
            <w:shd w:fill="FAFAFA" w:val="clear"/>
          </w:tcPr>
          <w:p>
            <w:pPr>
              <w:spacing w:before="80"/>
            </w:pPr>
            <w:r/>
          </w:p>
        </w:tc>
      </w:tr>
    </w:tbl>
    <w:p>
      <w:pPr>
        <w:spacing w:after="80"/>
      </w:pPr>
    </w:p>
    <w:p/>
    <w:p>
      <w:pPr>
        <w:pStyle w:val="Heading3"/>
      </w:pPr>
      <w:r>
        <w:rPr>
          <w:color w:val="27AE60"/>
        </w:rPr>
        <w:t>Q3 Discharge Medications and Follow-up Monitoring Plan for HFrEF with Concomitant CKD (Optimization Under Inventory Constraints)</w:t>
      </w:r>
    </w:p>
    <w:p>
      <w:pPr>
        <w:spacing w:before="80" w:after="120" w:line="408" w:lineRule="auto"/>
        <w:ind w:left="227" w:right="227"/>
        <w:shd w:fill="EBF5FB" w:val="clear"/>
      </w:pPr>
      <w:r>
        <w:rPr>
          <w:rFonts w:ascii="微软雅黑" w:hAnsi="微软雅黑" w:eastAsia="微软雅黑"/>
          <w:b w:val="0"/>
          <w:i w:val="0"/>
          <w:sz w:val="22"/>
        </w:rPr>
        <w:t>After treatment, the patient’s symptoms are stable and discharge is planned. Current laboratory results: Scr 205 μmol/L (eGFR 22), K+ 4.6 mmol/L; blood pressure 108/64 mmHg, heart rate 66 beats/min, NYHA class II. The attending physician asks you, as a clinical pharmacist, to provide post-discharge medication management recommendations and a follow-up plan.</w:t>
      </w:r>
    </w:p>
    <w:p>
      <w:pPr>
        <w:spacing w:before="80" w:after="40" w:line="336" w:lineRule="auto"/>
      </w:pPr>
      <w:r>
        <w:rPr>
          <w:rFonts w:ascii="微软雅黑" w:hAnsi="微软雅黑" w:eastAsia="微软雅黑"/>
          <w:b w:val="0"/>
          <w:i w:val="0"/>
          <w:color w:val="AAAAAA"/>
          <w:sz w:val="16"/>
        </w:rPr>
        <w:t>Answer Section (Task 1 Comprehensive Assessment)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rPr>
          <w:trHeight w:val="6400" w:hRule="exact"/>
        </w:trPr>
        <w:tc>
          <w:tcPr>
            <w:tcW w:type="dxa" w:w="8504"/>
            <w:shd w:fill="FAFAFA" w:val="clear"/>
          </w:tcPr>
          <w:p>
            <w:pPr>
              <w:spacing w:before="80"/>
            </w:pPr>
            <w:r/>
          </w:p>
        </w:tc>
      </w:tr>
    </w:tbl>
    <w:p>
      <w:pPr>
        <w:spacing w:after="80"/>
      </w:pPr>
    </w:p>
    <w:p/>
    <w:p>
      <w:pPr>
        <w:pStyle w:val="Heading2"/>
      </w:pPr>
      <w:r>
        <w:rPr>
          <w:color w:val="D4AC0D"/>
        </w:rPr>
        <w:t>Task 2: Clinical Implementation Documentation (4 points)</w:t>
      </w:r>
    </w:p>
    <w:p>
      <w:pPr>
        <w:spacing w:before="120" w:after="120" w:line="360" w:lineRule="auto"/>
        <w:ind w:left="170" w:right="170"/>
        <w:shd w:fill="FEF9E7" w:val="clear"/>
      </w:pPr>
      <w:r>
        <w:rPr>
          <w:rFonts w:ascii="微软雅黑" w:hAnsi="微软雅黑" w:eastAsia="微软雅黑"/>
          <w:b w:val="0"/>
          <w:i w:val="0"/>
          <w:color w:val="1A4A6B"/>
          <w:sz w:val="20"/>
        </w:rPr>
        <w:t>Task 2: Clinical Execution Document. Please generate a directly actionable document based on the clinical decision-making from Task 1.</w:t>
        <w:br/>
        <w:br/>
        <w:t>Requirements: For any medications mentioned in the document, use the full inventory name and specification; for medications not in inventory, label them in the document as “requires external purchase/temporary compounding” and describe the procurement process.</w:t>
      </w:r>
    </w:p>
    <w:p>
      <w:pPr>
        <w:spacing w:before="120" w:after="80" w:line="336" w:lineRule="auto"/>
      </w:pPr>
      <w:r>
        <w:rPr>
          <w:rFonts w:ascii="微软雅黑" w:hAnsi="微软雅黑" w:eastAsia="微软雅黑"/>
          <w:b/>
          <w:i w:val="0"/>
          <w:color w:val="7D6608"/>
          <w:sz w:val="20"/>
        </w:rPr>
        <w:t>Document Type: Pharmaceutical Care Plan Form</w:t>
      </w:r>
    </w:p>
    <w:p>
      <w:pPr>
        <w:spacing w:before="80" w:after="120" w:line="408" w:lineRule="auto"/>
        <w:ind w:left="227" w:right="227"/>
        <w:shd w:fill="FEF9E7" w:val="clear"/>
      </w:pPr>
      <w:r>
        <w:rPr>
          <w:rFonts w:ascii="微软雅黑" w:hAnsi="微软雅黑" w:eastAsia="微软雅黑"/>
          <w:b w:val="0"/>
          <w:i w:val="0"/>
          <w:sz w:val="22"/>
        </w:rPr>
        <w:t>Please develop a ward-ready pharmaceutical monitoring document, based on this patient’s inpatient and discharge medication decision-making for “chronic heart failure (HFrEF, LVEF 32%, NYHA class II) complicated by CKD stage 4 (eGFR 23).” The document should guide the medical and nursing team on monitoring, early warning, and management when initiating/adjusting relevant medications, and it must reflect constraints related to available formulary stock.</w:t>
      </w:r>
    </w:p>
    <w:p>
      <w:pPr>
        <w:spacing w:before="80" w:after="40" w:line="336" w:lineRule="auto"/>
      </w:pPr>
      <w:r>
        <w:rPr>
          <w:rFonts w:ascii="微软雅黑" w:hAnsi="微软雅黑" w:eastAsia="微软雅黑"/>
          <w:b w:val="0"/>
          <w:i w:val="0"/>
          <w:color w:val="AAAAAA"/>
          <w:sz w:val="16"/>
        </w:rPr>
        <w:t>Answer Area (Task 2 Writing, please complete the entire form)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rPr>
          <w:trHeight w:val="17600" w:hRule="exact"/>
        </w:trPr>
        <w:tc>
          <w:tcPr>
            <w:tcW w:type="dxa" w:w="8504"/>
            <w:shd w:fill="FFFEF5" w:val="clear"/>
          </w:tcPr>
          <w:p>
            <w:pPr>
              <w:spacing w:before="80"/>
            </w:pPr>
            <w:r/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微软雅黑" w:hAnsi="微软雅黑" w:eastAsia="微软雅黑"/>
        <w:b w:val="0"/>
        <w:i w:val="0"/>
        <w:color w:val="999999"/>
        <w:sz w:val="16"/>
      </w:rPr>
      <w:t>Cross-Specialty Probe v2 — 临床药学综合评估试卷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