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7AE60"/>
          <w:sz w:val="32"/>
        </w:rPr>
        <w:t>Critical Care ICU — Vasoactive Medication Management</w:t>
      </w:r>
    </w:p>
    <w:p>
      <w:pPr>
        <w:spacing w:before="0" w:after="40" w:line="336" w:lineRule="auto"/>
      </w:pPr>
      <w:r>
        <w:rPr>
          <w:rFonts w:ascii="微软雅黑" w:hAnsi="微软雅黑" w:eastAsia="微软雅黑"/>
          <w:b w:val="0"/>
          <w:i w:val="0"/>
          <w:color w:val="999999"/>
          <w:sz w:val="18"/>
        </w:rPr>
        <w:t>Scenario ID: icu_002 · Task 1 × 3 questions + Task 2 ×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48</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57</w:t>
            </w:r>
          </w:p>
        </w:tc>
        <w:tc>
          <w:tcPr>
            <w:tcW w:type="dxa" w:w="1063"/>
            <w:shd w:fill="ECF0F1" w:val="clear"/>
          </w:tcPr>
          <w:p>
            <w:r>
              <w:t>Cardiac index (L/min/m²)</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1.8</w:t>
            </w:r>
          </w:p>
        </w:tc>
      </w:tr>
      <w:tr>
        <w:tc>
          <w:tcPr>
            <w:tcW w:type="dxa" w:w="1063"/>
            <w:shd w:fill="ECF0F1" w:val="clear"/>
          </w:tcPr>
          <w:p>
            <w:r/>
            <w:r>
              <w:rPr>
                <w:rFonts w:ascii="微软雅黑" w:hAnsi="微软雅黑" w:eastAsia="微软雅黑"/>
                <w:b/>
                <w:i w:val="0"/>
                <w:color w:val="7F8C8D"/>
                <w:sz w:val="16"/>
              </w:rPr>
              <w:t>MAP(mmHg)</w:t>
            </w:r>
          </w:p>
        </w:tc>
        <w:tc>
          <w:tcPr>
            <w:tcW w:type="dxa" w:w="1063"/>
          </w:tcPr>
          <w:p>
            <w:r/>
            <w:r>
              <w:rPr>
                <w:rFonts w:ascii="微软雅黑" w:hAnsi="微软雅黑" w:eastAsia="微软雅黑"/>
                <w:b/>
                <w:i w:val="0"/>
                <w:sz w:val="18"/>
              </w:rPr>
              <w:t>64</w:t>
            </w:r>
          </w:p>
        </w:tc>
        <w:tc>
          <w:tcPr>
            <w:tcW w:type="dxa" w:w="1063"/>
            <w:shd w:fill="ECF0F1" w:val="clear"/>
          </w:tcPr>
          <w:p>
            <w:r/>
            <w:r>
              <w:rPr>
                <w:rFonts w:ascii="微软雅黑" w:hAnsi="微软雅黑" w:eastAsia="微软雅黑"/>
                <w:b/>
                <w:i w:val="0"/>
                <w:color w:val="7F8C8D"/>
                <w:sz w:val="16"/>
              </w:rPr>
              <w:t>CRRT</w:t>
            </w:r>
          </w:p>
        </w:tc>
        <w:tc>
          <w:tcPr>
            <w:tcW w:type="dxa" w:w="1063"/>
          </w:tcPr>
          <w:p>
            <w:r>
              <w:t>No</w:t>
            </w:r>
            <w:r>
              <w:rPr>
                <w:rFonts w:ascii="微软雅黑" w:hAnsi="微软雅黑" w:eastAsia="微软雅黑"/>
                <w:b/>
                <w:i w:val="0"/>
                <w:sz w:val="18"/>
              </w:rPr>
            </w:r>
          </w:p>
        </w:tc>
        <w:tc>
          <w:tcPr>
            <w:tcW w:type="dxa" w:w="1063"/>
            <w:shd w:fill="ECF0F1" w:val="clear"/>
          </w:tcPr>
          <w:p>
            <w:r>
              <w:t>Diagnosis</w:t>
            </w:r>
            <w:r>
              <w:rPr>
                <w:rFonts w:ascii="微软雅黑" w:hAnsi="微软雅黑" w:eastAsia="微软雅黑"/>
                <w:b/>
                <w:i w:val="0"/>
                <w:color w:val="7F8C8D"/>
                <w:sz w:val="16"/>
              </w:rPr>
            </w:r>
          </w:p>
        </w:tc>
        <w:tc>
          <w:tcPr>
            <w:tcW w:type="dxa" w:w="1063"/>
          </w:tcPr>
          <w:p>
            <w:r>
              <w:t>Septic shock (persistent MAP &lt;65 mmHg, high-dose vasopressors)</w:t>
            </w:r>
            <w:r>
              <w:rPr>
                <w:rFonts w:ascii="微软雅黑" w:hAnsi="微软雅黑" w:eastAsia="微软雅黑"/>
                <w:b/>
                <w:i w:val="0"/>
                <w:sz w:val="18"/>
              </w:rPr>
            </w: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medication inventory.</w:t>
        <w:br/>
        <w:br/>
        <w:t>Requirements: Recommended medications must use the complete medication name and strength/specification as listed in the inventory; if a medication outside the inventory is required, it must be clearly labeled “This medication is not listed in this hospital’s inventory and requires external purchase/temporary compounding,” and an in-inventory alternative plan or an acquisition process must be provided.</w:t>
      </w:r>
    </w:p>
    <w:p/>
    <w:p>
      <w:pPr>
        <w:pStyle w:val="Heading3"/>
      </w:pPr>
      <w:r>
        <w:rPr>
          <w:color w:val="2980B9"/>
        </w:rPr>
        <w:t>Q1  Development of an initial comprehensive pharmacologic regimen for septic shock (vasopressors/inotropes/anti-infective therapy/stress-related mucosal damage prophylaxis)</w:t>
      </w:r>
    </w:p>
    <w:p>
      <w:pPr>
        <w:spacing w:before="80" w:after="120" w:line="408" w:lineRule="auto"/>
        <w:ind w:left="227" w:right="227"/>
        <w:shd w:fill="EBF5FB" w:val="clear"/>
      </w:pPr>
      <w:r>
        <w:rPr>
          <w:rFonts w:ascii="微软雅黑" w:hAnsi="微软雅黑" w:eastAsia="微软雅黑"/>
          <w:b w:val="0"/>
          <w:i w:val="0"/>
          <w:sz w:val="22"/>
        </w:rPr>
        <w:t>A 48-year-old female, 57 kg, diagnosed with septic shock. MAP is 64 mmHg and persistently &lt;65 mmHg, suggesting that despite high-dose vasopressors it remains difficult to maintain perfusion; cardiac index is 1.8 L/min/m². The attending physician asks you, as a clinical pharmacist, to provide a complete medication therapy recommendation for this patient based on the medications currently available in our hospital.</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Recurrent hemodynamic instability during treatment and adjustments to sedation and analgesia strategies</w:t>
      </w:r>
    </w:p>
    <w:p>
      <w:pPr>
        <w:spacing w:before="80" w:after="120" w:line="408" w:lineRule="auto"/>
        <w:ind w:left="227" w:right="227"/>
        <w:shd w:fill="EBF5FB" w:val="clear"/>
      </w:pPr>
      <w:r>
        <w:rPr>
          <w:rFonts w:ascii="微软雅黑" w:hAnsi="微软雅黑" w:eastAsia="微软雅黑"/>
          <w:b w:val="0"/>
          <w:i w:val="0"/>
          <w:sz w:val="22"/>
        </w:rPr>
        <w:t>Hospital Day 2: The patient still requires high-dose vasopressors to maintain blood pressure and now requires endotracheal intubation with mechanical ventilation. Continuous sedation has been initiated to ensure ventilator–patient synchrony; subsequently, MAP decreased to 58–60 mmHg with an upward trend in lactate. The attending physician requests that you, as a clinical pharmacist, provide a pharmacotherapy consultation on the current medications and propose recommendations for adjustment.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Reassessment of Anti-Infective Therapy and De-escalation/Duration Management (Including Boundaries for Antifungal or Antiviral Use)</w:t>
      </w:r>
    </w:p>
    <w:p>
      <w:pPr>
        <w:spacing w:before="80" w:after="120" w:line="408" w:lineRule="auto"/>
        <w:ind w:left="227" w:right="227"/>
        <w:shd w:fill="EBF5FB" w:val="clear"/>
      </w:pPr>
      <w:r>
        <w:rPr>
          <w:rFonts w:ascii="微软雅黑" w:hAnsi="微软雅黑" w:eastAsia="微软雅黑"/>
          <w:b w:val="0"/>
          <w:i w:val="0"/>
          <w:sz w:val="22"/>
        </w:rPr>
        <w:t>Treatment Day 4: The patient’s hemodynamics are more stable than before but vasopressors are still being used; cultures have been sent. The current temperature has decreased but the white blood cell count remains elevated, liver enzymes are mildly elevated, and diarrhea has occurred. The attending physician asks you, as the clinical pharmacist, to provide pharmacotherapy recommendations for subsequent anti-infective treatment and related medications based on the current medications and the drugs available in our hospital.</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Based on the clinical decision-making from Task 1, produce directly actionable documentation.</w:t>
        <w:br/>
        <w:br/>
        <w:t>Requirements: Any medications involved in the document must use the full in-stock name and specification. Any medications not in stock must be labeled in the document as “requires external purchase/temporary compounding,” and the acquisition process must be explained.</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Please, based on this patient’s initial comprehensive medication decisions for septic shock (vasopressors/inotropes/anti-infective therapy/stress-related mucosal disease prophylaxis) and the requirements for repeated hemodynamic fluctuations during treatment and for adjustments to the sedation–analgesia strategy, develop a pharmaceutical monitoring document that can be directly implemented by the ICU medical and nursing team, for bedside titration, risk alerts, and documentation of interventions and management.</w:t>
      </w:r>
    </w:p>
    <w:p>
      <w:pPr>
        <w:spacing w:before="80" w:after="40" w:line="336" w:lineRule="auto"/>
      </w:pPr>
      <w:r>
        <w:rPr>
          <w:rFonts w:ascii="微软雅黑" w:hAnsi="微软雅黑" w:eastAsia="微软雅黑"/>
          <w:b w:val="0"/>
          <w:i w:val="0"/>
          <w:color w:val="AAAAAA"/>
          <w:sz w:val="16"/>
        </w:rPr>
        <w:t>▸ Answer Section (Task 2 Documentation,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