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27AE60"/>
          <w:sz w:val="32"/>
        </w:rPr>
        <w:t>Critical Care ICU — Dose Adjustment for ICU Renal Insufficiency</w:t>
      </w:r>
    </w:p>
    <w:p>
      <w:pPr>
        <w:spacing w:before="0" w:after="40" w:line="336" w:lineRule="auto"/>
      </w:pPr>
      <w:r>
        <w:rPr>
          <w:rFonts w:ascii="微软雅黑" w:hAnsi="微软雅黑" w:eastAsia="微软雅黑"/>
          <w:b w:val="0"/>
          <w:i w:val="0"/>
          <w:color w:val="999999"/>
          <w:sz w:val="18"/>
        </w:rPr>
        <w:t>Scenario ID: icu_003 · Task 1 × 3 questions + Task 2 × 1 question · Total: 16 points</w:t>
      </w:r>
    </w:p>
    <w:p>
      <w:pPr>
        <w:spacing w:before="0" w:after="120" w:line="336" w:lineRule="auto"/>
      </w:pPr>
      <w:r>
        <w:rPr>
          <w:rFonts w:ascii="微软雅黑" w:hAnsi="微软雅黑" w:eastAsia="微软雅黑"/>
          <w:b/>
          <w:i w:val="0"/>
          <w:color w:val="E74C3C"/>
          <w:sz w:val="18"/>
        </w:rPr>
        <w:t>Please provide complete answers in the [Answer Area] for each question.</w:t>
      </w:r>
    </w:p>
    <w:p>
      <w:pPr>
        <w:spacing w:before="80" w:after="120" w:line="336" w:lineRule="auto"/>
      </w:pPr>
      <w:r>
        <w:rPr>
          <w:rFonts w:ascii="微软雅黑" w:hAnsi="微软雅黑" w:eastAsia="微软雅黑"/>
          <w:b/>
          <w:i w:val="0"/>
          <w:color w:val="16A085"/>
          <w:sz w:val="20"/>
        </w:rPr>
        <w:t>Basic Patient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66</w:t>
            </w:r>
          </w:p>
        </w:tc>
        <w:tc>
          <w:tcPr>
            <w:tcW w:type="dxa" w:w="1063"/>
            <w:shd w:fill="ECF0F1" w:val="clear"/>
          </w:tcPr>
          <w:p>
            <w:r>
              <w:t>Sex</w:t>
            </w:r>
            <w:r>
              <w:rPr>
                <w:rFonts w:ascii="微软雅黑" w:hAnsi="微软雅黑" w:eastAsia="微软雅黑"/>
                <w:b/>
                <w:i w:val="0"/>
                <w:color w:val="7F8C8D"/>
                <w:sz w:val="16"/>
              </w:rPr>
            </w:r>
          </w:p>
        </w:tc>
        <w:tc>
          <w:tcPr>
            <w:tcW w:type="dxa" w:w="1063"/>
          </w:tcPr>
          <w:p>
            <w:r>
              <w:t>Male</w:t>
            </w:r>
            <w:r>
              <w:rPr>
                <w:rFonts w:ascii="微软雅黑" w:hAnsi="微软雅黑" w:eastAsia="微软雅黑"/>
                <w:b/>
                <w:i w:val="0"/>
                <w:sz w:val="18"/>
              </w:rPr>
            </w:r>
          </w:p>
        </w:tc>
        <w:tc>
          <w:tcPr>
            <w:tcW w:type="dxa" w:w="1063"/>
            <w:shd w:fill="ECF0F1" w:val="clear"/>
          </w:tcPr>
          <w:p>
            <w:r>
              <w:t>Body 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78</w:t>
            </w:r>
          </w:p>
        </w:tc>
        <w:tc>
          <w:tcPr>
            <w:tcW w:type="dxa" w:w="1063"/>
            <w:shd w:fill="ECF0F1" w:val="clear"/>
          </w:tcPr>
          <w:p>
            <w:r>
              <w:t>Creatinine (μmol/L)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294</w:t>
            </w:r>
          </w:p>
        </w:tc>
      </w:tr>
      <w:tr>
        <w:tc>
          <w:tcPr>
            <w:tcW w:type="dxa" w:w="1063"/>
            <w:shd w:fill="ECF0F1" w:val="clear"/>
          </w:tcPr>
          <w:p>
            <w:r>
              <w:t>Estimated eGFR (mL/min/1.73 m²)</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20</w:t>
            </w:r>
          </w:p>
        </w:tc>
        <w:tc>
          <w:tcPr>
            <w:tcW w:type="dxa" w:w="1063"/>
            <w:shd w:fill="ECF0F1" w:val="clear"/>
          </w:tcPr>
          <w:p>
            <w:r/>
            <w:r>
              <w:rPr>
                <w:rFonts w:ascii="微软雅黑" w:hAnsi="微软雅黑" w:eastAsia="微软雅黑"/>
                <w:b/>
                <w:i w:val="0"/>
                <w:color w:val="7F8C8D"/>
                <w:sz w:val="16"/>
              </w:rPr>
              <w:t>CRRT</w:t>
            </w:r>
          </w:p>
        </w:tc>
        <w:tc>
          <w:tcPr>
            <w:tcW w:type="dxa" w:w="1063"/>
          </w:tcPr>
          <w:p>
            <w:r>
              <w:t>No</w:t>
            </w:r>
            <w:r>
              <w:rPr>
                <w:rFonts w:ascii="微软雅黑" w:hAnsi="微软雅黑" w:eastAsia="微软雅黑"/>
                <w:b/>
                <w:i w:val="0"/>
                <w:sz w:val="18"/>
              </w:rPr>
            </w:r>
          </w:p>
        </w:tc>
        <w:tc>
          <w:tcPr>
            <w:tcW w:type="dxa" w:w="1063"/>
            <w:shd w:fill="ECF0F1" w:val="clear"/>
          </w:tcPr>
          <w:p>
            <w:r>
              <w:t>CRRT flow rate (mL/h)</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None</w:t>
            </w:r>
          </w:p>
        </w:tc>
        <w:tc>
          <w:tcPr>
            <w:tcW w:type="dxa" w:w="1063"/>
            <w:shd w:fill="ECF0F1" w:val="clear"/>
          </w:tcPr>
          <w:p>
            <w:r>
              <w:t>Diagnosis</w:t>
            </w:r>
            <w:r>
              <w:rPr>
                <w:rFonts w:ascii="微软雅黑" w:hAnsi="微软雅黑" w:eastAsia="微软雅黑"/>
                <w:b/>
                <w:i w:val="0"/>
                <w:color w:val="7F8C8D"/>
                <w:sz w:val="16"/>
              </w:rPr>
            </w:r>
          </w:p>
        </w:tc>
        <w:tc>
          <w:tcPr>
            <w:tcW w:type="dxa" w:w="1063"/>
          </w:tcPr>
          <w:p>
            <w:r>
              <w:t>Sepsis complicated by acute kidney injury (AKI, KDIGO stage 3)</w:t>
            </w:r>
            <w:r>
              <w:rPr>
                <w:rFonts w:ascii="微软雅黑" w:hAnsi="微软雅黑" w:eastAsia="微软雅黑"/>
                <w:b/>
                <w:i w:val="0"/>
                <w:sz w:val="18"/>
              </w:rPr>
            </w: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Task 1: Based on a comprehensive clinical pharmacy assessment, please complete the following comprehensive assessment questions in conjunction with this hospital’s medication inventory.</w:t>
        <w:br/>
        <w:br/>
        <w:t>Requirements: Recommended medications must use the full drug name and specification available in the inventory. If a medication outside the inventory is required, it must be clearly labeled “This medication is not listed in this hospital’s inventory and requires external purchase/temporary compounding,” and an in-inventory alternative plan or the acquisition process must be provided.</w:t>
      </w:r>
    </w:p>
    <w:p/>
    <w:p>
      <w:pPr>
        <w:pStyle w:val="Heading3"/>
      </w:pPr>
      <w:r>
        <w:rPr>
          <w:color w:val="2980B9"/>
        </w:rPr>
        <w:t>Q1  Development of an Empiric Antimicrobial Therapy Regimen for Sepsis Complicated by Severe AKI</w:t>
      </w:r>
    </w:p>
    <w:p>
      <w:pPr>
        <w:spacing w:before="80" w:after="120" w:line="408" w:lineRule="auto"/>
        <w:ind w:left="227" w:right="227"/>
        <w:shd w:fill="EBF5FB" w:val="clear"/>
      </w:pPr>
      <w:r>
        <w:rPr>
          <w:rFonts w:ascii="微软雅黑" w:hAnsi="微软雅黑" w:eastAsia="微软雅黑"/>
          <w:b w:val="0"/>
          <w:i w:val="0"/>
          <w:sz w:val="22"/>
        </w:rPr>
        <w:t>A 66-year-old male with sepsis complicated by acute kidney injury (KDIGO stage 3), Scr 294 μmol/L, eGFR approximately 20 mL/min/1.73 m², not on CRRT. The attending physician plans to initiate empiric anti-infective therapy immediately, but is concerned about both further deterioration of renal function and insufficient early coverage; please, as a clinical pharmacist, provide comprehensive recommendations for inpatient anti-infective therapy.</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Adjustment of Antimicrobial Therapy and Interpretation of TDM During Treatment in the Setting of Progressive AKI</w:t>
      </w:r>
    </w:p>
    <w:p>
      <w:pPr>
        <w:spacing w:before="80" w:after="120" w:line="408" w:lineRule="auto"/>
        <w:ind w:left="227" w:right="227"/>
        <w:shd w:fill="EBF5FB" w:val="clear"/>
      </w:pPr>
      <w:r>
        <w:rPr>
          <w:rFonts w:ascii="微软雅黑" w:hAnsi="微软雅黑" w:eastAsia="微软雅黑"/>
          <w:b w:val="0"/>
          <w:i w:val="0"/>
          <w:sz w:val="22"/>
        </w:rPr>
        <w:t>On day 3 after initiating empiric anti-infective therapy, the patient remained febrile with decreased urine output. Repeat testing showed Scr increased from 294 μmol/L to 380 μmol/L, with an estimated eGFR of approximately 14 mL/min/1.73 m², and CRRT had still not been initiated. Blood cultures indicated Gram-positive cocci; susceptibility results were not yet available. The first therapeutic drug monitoring result was also reported: the trough concentration of an anti–Gram-positive agent was 24 mg/L. The attending physician asks you to provide recommendations on adjustments to the current anti-infective regimen.</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Optimization of Sedation and Analgesia Regimens and Management of Drug Accumulation in Patients with Severe Renal Impairment</w:t>
      </w:r>
    </w:p>
    <w:p>
      <w:pPr>
        <w:spacing w:before="80" w:after="120" w:line="408" w:lineRule="auto"/>
        <w:ind w:left="227" w:right="227"/>
        <w:shd w:fill="EBF5FB" w:val="clear"/>
      </w:pPr>
      <w:r>
        <w:rPr>
          <w:rFonts w:ascii="微软雅黑" w:hAnsi="微软雅黑" w:eastAsia="微软雅黑"/>
          <w:b w:val="0"/>
          <w:i w:val="0"/>
          <w:sz w:val="22"/>
        </w:rPr>
        <w:t>The patient required endotracheal intubation and mechanical ventilation due to infection-related respiratory distress. The medical order planned for continuous intravenous sedation and analgesia. The nurse reported that after administration of sedative agents, the patient developed marked somnolence, was difficult to arouse, and had blood pressure fluctuations. The attending physician asks you, as the clinical pharmacist, to provide recommendations for adjusting sedation and analgesia medications during the ICU stay.</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Implementation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Task 2: Clinical implementation documentation. Please produce directly actionable documentation based on the clinical decision-making from Task 1.</w:t>
        <w:br/>
        <w:br/>
        <w:t>Requirements: Any medications mentioned in the documentation must use the full inventory name and specification; any medications not in inventory must be labeled in the documentation as “requires external purchase/temporary compounding” and the procurement process must be described.</w:t>
      </w:r>
    </w:p>
    <w:p>
      <w:pPr>
        <w:spacing w:before="120" w:after="80" w:line="336" w:lineRule="auto"/>
      </w:pPr>
      <w:r>
        <w:rPr>
          <w:rFonts w:ascii="微软雅黑" w:hAnsi="微软雅黑" w:eastAsia="微软雅黑"/>
          <w:b/>
          <w:i w:val="0"/>
          <w:color w:val="7D6608"/>
          <w:sz w:val="20"/>
        </w:rPr>
        <w:t>Document Type: Dose Adjustment Decision Table</w:t>
      </w:r>
    </w:p>
    <w:p>
      <w:pPr>
        <w:spacing w:before="80" w:after="120" w:line="408" w:lineRule="auto"/>
        <w:ind w:left="227" w:right="227"/>
        <w:shd w:fill="FEF9E7" w:val="clear"/>
      </w:pPr>
      <w:r>
        <w:rPr>
          <w:rFonts w:ascii="微软雅黑" w:hAnsi="微软雅黑" w:eastAsia="微软雅黑"/>
          <w:b w:val="0"/>
          <w:i w:val="0"/>
          <w:sz w:val="22"/>
        </w:rPr>
        <w:t>Please, based on this patient’s empiric anti-infective and sedation/analgesia medication decision-making for “sepsis complicated by severe AKI (non-CRRT),” create a “start/stop/reassess” medication order document that inpatient pharmacists can directly execute as the clinical course changes. This document is intended to guide real-time adjustment and handoff of antimicrobial agents and sedation/analgesia medications in response to fluctuations in renal function and the availability of TDM results.</w:t>
      </w:r>
    </w:p>
    <w:p>
      <w:pPr>
        <w:spacing w:before="80" w:after="40" w:line="336" w:lineRule="auto"/>
      </w:pPr>
      <w:r>
        <w:rPr>
          <w:rFonts w:ascii="微软雅黑" w:hAnsi="微软雅黑" w:eastAsia="微软雅黑"/>
          <w:b w:val="0"/>
          <w:i w:val="0"/>
          <w:color w:val="AAAAAA"/>
          <w:sz w:val="16"/>
        </w:rPr>
        <w:t>Answer Area (Task 2: Written Document — please complete the entire form)</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