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27AE60"/>
          <w:sz w:val="32"/>
        </w:rPr>
        <w:t>Critical Care ICU — Antibiotic Selection for Sepsis</w:t>
      </w:r>
    </w:p>
    <w:p>
      <w:pPr>
        <w:spacing w:before="0" w:after="40" w:line="336" w:lineRule="auto"/>
      </w:pPr>
      <w:r>
        <w:rPr>
          <w:rFonts w:ascii="微软雅黑" w:hAnsi="微软雅黑" w:eastAsia="微软雅黑"/>
          <w:b w:val="0"/>
          <w:i w:val="0"/>
          <w:color w:val="999999"/>
          <w:sz w:val="18"/>
        </w:rPr>
        <w:t>Scenario ID: icu_004 · Task 1 × 3 questions + Task 2 × 1 question · Total: 16 points</w:t>
      </w:r>
    </w:p>
    <w:p>
      <w:pPr>
        <w:spacing w:before="0" w:after="120" w:line="336" w:lineRule="auto"/>
      </w:pPr>
      <w:r>
        <w:rPr>
          <w:rFonts w:ascii="微软雅黑" w:hAnsi="微软雅黑" w:eastAsia="微软雅黑"/>
          <w:b/>
          <w:i w:val="0"/>
          <w:color w:val="E74C3C"/>
          <w:sz w:val="18"/>
        </w:rPr>
        <w:t>Please provide a complete answer in the [Answer Area] for each question.</w:t>
      </w:r>
    </w:p>
    <w:p>
      <w:pPr>
        <w:spacing w:before="80" w:after="120" w:line="336" w:lineRule="auto"/>
      </w:pPr>
      <w:r>
        <w:rPr>
          <w:rFonts w:ascii="微软雅黑" w:hAnsi="微软雅黑" w:eastAsia="微软雅黑"/>
          <w:b/>
          <w:i w:val="0"/>
          <w:color w:val="16A085"/>
          <w:sz w:val="20"/>
        </w:rPr>
        <w:t>Patient Basic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45</w:t>
            </w:r>
          </w:p>
        </w:tc>
        <w:tc>
          <w:tcPr>
            <w:tcW w:type="dxa" w:w="1063"/>
            <w:shd w:fill="ECF0F1" w:val="clear"/>
          </w:tcPr>
          <w:p>
            <w:r>
              <w:t>Sex</w:t>
            </w:r>
            <w:r>
              <w:rPr>
                <w:rFonts w:ascii="微软雅黑" w:hAnsi="微软雅黑" w:eastAsia="微软雅黑"/>
                <w:b/>
                <w:i w:val="0"/>
                <w:color w:val="7F8C8D"/>
                <w:sz w:val="16"/>
              </w:rPr>
            </w:r>
          </w:p>
        </w:tc>
        <w:tc>
          <w:tcPr>
            <w:tcW w:type="dxa" w:w="1063"/>
          </w:tcPr>
          <w:p>
            <w:r>
              <w:t>Male</w:t>
            </w:r>
            <w:r>
              <w:rPr>
                <w:rFonts w:ascii="微软雅黑" w:hAnsi="微软雅黑" w:eastAsia="微软雅黑"/>
                <w:b/>
                <w:i w:val="0"/>
                <w:sz w:val="18"/>
              </w:rPr>
            </w:r>
          </w:p>
        </w:tc>
        <w:tc>
          <w:tcPr>
            <w:tcW w:type="dxa" w:w="1063"/>
            <w:shd w:fill="ECF0F1" w:val="clear"/>
          </w:tcPr>
          <w:p>
            <w:r>
              <w:t>Body 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87</w:t>
            </w:r>
          </w:p>
        </w:tc>
        <w:tc>
          <w:tcPr>
            <w:tcW w:type="dxa" w:w="1063"/>
            <w:shd w:fill="ECF0F1" w:val="clear"/>
          </w:tcPr>
          <w:p>
            <w:r>
              <w:t>Creatinine (μmol/L)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458</w:t>
            </w:r>
          </w:p>
        </w:tc>
      </w:tr>
      <w:tr>
        <w:tc>
          <w:tcPr>
            <w:tcW w:type="dxa" w:w="1063"/>
            <w:shd w:fill="ECF0F1" w:val="clear"/>
          </w:tcPr>
          <w:p>
            <w:r>
              <w:t>Estimated eGFR (mL/min/1.73 m²)</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13</w:t>
            </w:r>
          </w:p>
        </w:tc>
        <w:tc>
          <w:tcPr>
            <w:tcW w:type="dxa" w:w="1063"/>
            <w:shd w:fill="ECF0F1" w:val="clear"/>
          </w:tcPr>
          <w:p>
            <w:r/>
            <w:r>
              <w:rPr>
                <w:rFonts w:ascii="微软雅黑" w:hAnsi="微软雅黑" w:eastAsia="微软雅黑"/>
                <w:b/>
                <w:i w:val="0"/>
                <w:color w:val="7F8C8D"/>
                <w:sz w:val="16"/>
              </w:rPr>
              <w:t>CRRT</w:t>
            </w:r>
          </w:p>
        </w:tc>
        <w:tc>
          <w:tcPr>
            <w:tcW w:type="dxa" w:w="1063"/>
          </w:tcPr>
          <w:p>
            <w:r>
              <w:t>Yes.</w:t>
            </w:r>
            <w:r>
              <w:rPr>
                <w:rFonts w:ascii="微软雅黑" w:hAnsi="微软雅黑" w:eastAsia="微软雅黑"/>
                <w:b/>
                <w:i w:val="0"/>
                <w:sz w:val="18"/>
              </w:rPr>
            </w:r>
          </w:p>
        </w:tc>
        <w:tc>
          <w:tcPr>
            <w:tcW w:type="dxa" w:w="1063"/>
            <w:shd w:fill="ECF0F1" w:val="clear"/>
          </w:tcPr>
          <w:p>
            <w:r>
              <w:t>SOFA score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6</w:t>
            </w:r>
          </w:p>
        </w:tc>
        <w:tc>
          <w:tcPr>
            <w:tcW w:type="dxa" w:w="1063"/>
            <w:shd w:fill="ECF0F1" w:val="clear"/>
          </w:tcPr>
          <w:p>
            <w:r/>
            <w:r>
              <w:rPr>
                <w:rFonts w:ascii="微软雅黑" w:hAnsi="微软雅黑" w:eastAsia="微软雅黑"/>
                <w:b/>
                <w:i w:val="0"/>
                <w:color w:val="7F8C8D"/>
                <w:sz w:val="16"/>
              </w:rPr>
              <w:t>MAP(mmHg)</w:t>
            </w:r>
          </w:p>
        </w:tc>
        <w:tc>
          <w:tcPr>
            <w:tcW w:type="dxa" w:w="1063"/>
          </w:tcPr>
          <w:p>
            <w:r/>
            <w:r>
              <w:rPr>
                <w:rFonts w:ascii="微软雅黑" w:hAnsi="微软雅黑" w:eastAsia="微软雅黑"/>
                <w:b/>
                <w:i w:val="0"/>
                <w:sz w:val="18"/>
              </w:rPr>
              <w:t>71</w:t>
            </w:r>
          </w:p>
        </w:tc>
      </w:tr>
      <w:tr>
        <w:tc>
          <w:tcPr>
            <w:tcW w:type="dxa" w:w="1063"/>
            <w:shd w:fill="ECF0F1" w:val="clear"/>
          </w:tcPr>
          <w:p>
            <w:r>
              <w:t>Diagnosis</w:t>
            </w:r>
            <w:r>
              <w:rPr>
                <w:rFonts w:ascii="微软雅黑" w:hAnsi="微软雅黑" w:eastAsia="微软雅黑"/>
                <w:b/>
                <w:i w:val="0"/>
                <w:color w:val="7F8C8D"/>
                <w:sz w:val="16"/>
              </w:rPr>
            </w:r>
          </w:p>
        </w:tc>
        <w:tc>
          <w:tcPr>
            <w:tcW w:type="dxa" w:w="1063"/>
          </w:tcPr>
          <w:p>
            <w:r>
              <w:t>Septic shock; central venous catheter–related bloodstream infection (CRBSI); pathogen: Acinetobacter baumannii (carbapenem-resistant, CRAB).</w:t>
            </w:r>
            <w:r>
              <w:rPr>
                <w:rFonts w:ascii="微软雅黑" w:hAnsi="微软雅黑" w:eastAsia="微软雅黑"/>
                <w:b/>
                <w:i w:val="0"/>
                <w:sz w:val="18"/>
              </w:rPr>
            </w:r>
          </w:p>
        </w:tc>
        <w:tc>
          <w:tcPr>
            <w:tcW w:type="dxa" w:w="1063"/>
          </w:tcPr>
          <w:p/>
        </w:tc>
        <w:tc>
          <w:tcPr>
            <w:tcW w:type="dxa" w:w="1063"/>
          </w:tcPr>
          <w:p/>
        </w:tc>
        <w:tc>
          <w:tcPr>
            <w:tcW w:type="dxa" w:w="1063"/>
          </w:tcPr>
          <w:p/>
        </w:tc>
        <w:tc>
          <w:tcPr>
            <w:tcW w:type="dxa" w:w="1063"/>
          </w:tcPr>
          <w:p/>
        </w:tc>
        <w:tc>
          <w:tcPr>
            <w:tcW w:type="dxa" w:w="1063"/>
          </w:tcPr>
          <w:p/>
        </w:tc>
        <w:tc>
          <w:tcPr>
            <w:tcW w:type="dxa" w:w="1063"/>
          </w:tcP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Comprehensive clinical pharmacy evaluation. Please complete the following comprehensive assessment based on the hospital’s drug inventory.</w:t>
        <w:br/>
        <w:br/>
        <w:t>Requirements: Any recommended medication must be written using the full drug name and specification available in the inventory. If a medication not listed in the hospital inventory is required, clearly indicate: “This drug is not listed in our hospital inventory and must be purchased externally/temporarily compounded,” and provide an in-inventory alternative plan or the procurement process.</w:t>
      </w:r>
    </w:p>
    <w:p/>
    <w:p>
      <w:pPr>
        <w:pStyle w:val="Heading3"/>
      </w:pPr>
      <w:r>
        <w:rPr>
          <w:color w:val="2980B9"/>
        </w:rPr>
        <w:t>Q1  Development of an anti-infective regimen for CRAB-caused CRBSI (individualized dosing in the context of CRRT)</w:t>
      </w:r>
    </w:p>
    <w:p>
      <w:pPr>
        <w:spacing w:before="80" w:after="120" w:line="408" w:lineRule="auto"/>
        <w:ind w:left="227" w:right="227"/>
        <w:shd w:fill="EBF5FB" w:val="clear"/>
      </w:pPr>
      <w:r>
        <w:rPr>
          <w:rFonts w:ascii="微软雅黑" w:hAnsi="微软雅黑" w:eastAsia="微软雅黑"/>
          <w:b w:val="0"/>
          <w:i w:val="0"/>
          <w:sz w:val="22"/>
        </w:rPr>
        <w:t>A 45-year-old male with septic shock and a central venous catheter–related bloodstream infection (CRBSI). Blood cultures indicate Acinetobacter baumannii (carbapenem-resistant, CRAB). Creatinine 458 μmol/L, eGFR 13 mL/min/1.73 m²; currently on CRRT; SOFA 6; MAP 71 mmHg. The attending physician asks you, as a clinical pharmacist, to provide medication recommendations for the current anti-infective treatment regimen.</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Medication adjustments for hypotension and sedation/analgesia-related issues occurring during treatment (hemodynamic status and CRRT context)</w:t>
      </w:r>
    </w:p>
    <w:p>
      <w:pPr>
        <w:spacing w:before="80" w:after="120" w:line="408" w:lineRule="auto"/>
        <w:ind w:left="227" w:right="227"/>
        <w:shd w:fill="EBF5FB" w:val="clear"/>
      </w:pPr>
      <w:r>
        <w:rPr>
          <w:rFonts w:ascii="微软雅黑" w:hAnsi="微软雅黑" w:eastAsia="微软雅黑"/>
          <w:b w:val="0"/>
          <w:i w:val="0"/>
          <w:sz w:val="22"/>
        </w:rPr>
        <w:t>After ICU admission, the patient required mechanical ventilation with sedation and analgesia. After administration of sedatives, the MAP decreased from 71 mmHg to 60 mmHg, and the norepinephrine dose was increased; meanwhile, serum triglycerides rose to 6.5 mmol/L. The attending physician asked you, as a clinical pharmacist, to provide pharmacotherapy recommendations regarding the current sedation/analgesia regimen and related supportive medications.</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Initiation of Vancomycin Therapy and Therapeutic Drug Monitoring (TDM) Protocol in the Context of CRRT (with Suspected Concomitant Gram-Positive Infection)</w:t>
      </w:r>
    </w:p>
    <w:p>
      <w:pPr>
        <w:spacing w:before="80" w:after="120" w:line="408" w:lineRule="auto"/>
        <w:ind w:left="227" w:right="227"/>
        <w:shd w:fill="EBF5FB" w:val="clear"/>
      </w:pPr>
      <w:r>
        <w:rPr>
          <w:rFonts w:ascii="微软雅黑" w:hAnsi="微软雅黑" w:eastAsia="微软雅黑"/>
          <w:b w:val="0"/>
          <w:i w:val="0"/>
          <w:sz w:val="22"/>
        </w:rPr>
        <w:t>On treatment day 2, the patient remained febrile, and PCT did not decrease. A new blood culture Gram stain showed “Gram-positive cocci in clusters,” suggesting a possible catheter-related infection with resistant Staphylococcus. The patient remains on CRRT. The attending physician asks you, as the clinical pharmacist, to provide pharmacotherapy recommendations regarding the proposed additional anti-infective therapy.</w:t>
      </w:r>
    </w:p>
    <w:p>
      <w:pPr>
        <w:spacing w:before="80" w:after="40" w:line="336" w:lineRule="auto"/>
      </w:pPr>
      <w:r>
        <w:rPr>
          <w:rFonts w:ascii="微软雅黑" w:hAnsi="微软雅黑" w:eastAsia="微软雅黑"/>
          <w:b w:val="0"/>
          <w:i w:val="0"/>
          <w:color w:val="AAAAAA"/>
          <w:sz w:val="16"/>
        </w:rPr>
        <w:t>Answer Area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Implementation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Task 2: Clinical implementation documentation. Please generate directly actionable documentation based on the clinical decision-making from Task 1.</w:t>
        <w:br/>
        <w:br/>
        <w:t>Requirements: Any medications mentioned in the document must use the full in-stock name and specification; for medications not in stock, label them in the document as “requires external purchase/temporary compounding” and describe the acquisition process.</w:t>
      </w:r>
    </w:p>
    <w:p>
      <w:pPr>
        <w:spacing w:before="120" w:after="80" w:line="336" w:lineRule="auto"/>
      </w:pPr>
      <w:r>
        <w:rPr>
          <w:rFonts w:ascii="微软雅黑" w:hAnsi="微软雅黑" w:eastAsia="微软雅黑"/>
          <w:b/>
          <w:i w:val="0"/>
          <w:color w:val="7D6608"/>
          <w:sz w:val="20"/>
        </w:rPr>
        <w:t>Document Type: Individualized Anti-infective Dosing and TDM Implementation Document (CRRT/Septic Shock/CRBSI Scenario)</w:t>
      </w:r>
    </w:p>
    <w:p>
      <w:pPr>
        <w:spacing w:before="80" w:after="120" w:line="408" w:lineRule="auto"/>
        <w:ind w:left="227" w:right="227"/>
        <w:shd w:fill="FEF9E7" w:val="clear"/>
      </w:pPr>
      <w:r>
        <w:rPr>
          <w:rFonts w:ascii="微软雅黑" w:hAnsi="微软雅黑" w:eastAsia="微软雅黑"/>
          <w:b w:val="0"/>
          <w:i w:val="0"/>
          <w:sz w:val="22"/>
        </w:rPr>
        <w:t>Please generate an “anti-infective medication implementation document” that the medical and nursing team can execute directly, based on this patient’s diagnosis, CRRT context, and the clinical decisions already determined. This document should be used to implement: transitional and first-line (including externally sourced) regimens for CRAB-caused CRBSI; initiation of vancomycin and TDM when there is concern for concomitant Gram-positive infection; and coordination between antimicrobial therapy and specimen collection in relation to infection source control.</w:t>
      </w:r>
    </w:p>
    <w:p>
      <w:pPr>
        <w:spacing w:before="80" w:after="40" w:line="336" w:lineRule="auto"/>
      </w:pPr>
      <w:r>
        <w:rPr>
          <w:rFonts w:ascii="微软雅黑" w:hAnsi="微软雅黑" w:eastAsia="微软雅黑"/>
          <w:b w:val="0"/>
          <w:i w:val="0"/>
          <w:color w:val="AAAAAA"/>
          <w:sz w:val="16"/>
        </w:rPr>
        <w:t>Answer Section (Task 2 Documentation—please complete the form in full)</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