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Vasoactive Medication Management</w:t>
      </w:r>
    </w:p>
    <w:p>
      <w:pPr>
        <w:spacing w:before="0" w:after="40" w:line="336" w:lineRule="auto"/>
      </w:pPr>
      <w:r>
        <w:rPr>
          <w:rFonts w:ascii="微软雅黑" w:hAnsi="微软雅黑" w:eastAsia="微软雅黑"/>
          <w:b w:val="0"/>
          <w:i w:val="0"/>
          <w:color w:val="999999"/>
          <w:sz w:val="18"/>
        </w:rPr>
        <w:t>Scenario ID: icu_007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63</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81</w:t>
            </w:r>
          </w:p>
        </w:tc>
        <w:tc>
          <w:tcPr>
            <w:tcW w:type="dxa" w:w="1063"/>
            <w:shd w:fill="ECF0F1" w:val="clear"/>
          </w:tcPr>
          <w:p>
            <w:r>
              <w:t>Cardiac Index (L/min/m²)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1.6</w:t>
            </w:r>
          </w:p>
        </w:tc>
      </w:tr>
      <w:tr>
        <w:tc>
          <w:tcPr>
            <w:tcW w:type="dxa" w:w="1063"/>
            <w:shd w:fill="ECF0F1" w:val="clear"/>
          </w:tcPr>
          <w:p>
            <w:r/>
            <w:r>
              <w:rPr>
                <w:rFonts w:ascii="微软雅黑" w:hAnsi="微软雅黑" w:eastAsia="微软雅黑"/>
                <w:b/>
                <w:i w:val="0"/>
                <w:color w:val="7F8C8D"/>
                <w:sz w:val="16"/>
              </w:rPr>
              <w:t>MAP(mmHg)</w:t>
            </w:r>
          </w:p>
        </w:tc>
        <w:tc>
          <w:tcPr>
            <w:tcW w:type="dxa" w:w="1063"/>
          </w:tcPr>
          <w:p>
            <w:r/>
            <w:r>
              <w:rPr>
                <w:rFonts w:ascii="微软雅黑" w:hAnsi="微软雅黑" w:eastAsia="微软雅黑"/>
                <w:b/>
                <w:i w:val="0"/>
                <w:sz w:val="18"/>
              </w:rPr>
              <w:t>68</w:t>
            </w:r>
          </w:p>
        </w:tc>
        <w:tc>
          <w:tcPr>
            <w:tcW w:type="dxa" w:w="1063"/>
            <w:shd w:fill="ECF0F1" w:val="clear"/>
          </w:tcPr>
          <w:p>
            <w:r/>
            <w:r>
              <w:rPr>
                <w:rFonts w:ascii="微软雅黑" w:hAnsi="微软雅黑" w:eastAsia="微软雅黑"/>
                <w:b/>
                <w:i w:val="0"/>
                <w:color w:val="7F8C8D"/>
                <w:sz w:val="16"/>
              </w:rPr>
              <w:t>CRRT</w:t>
            </w:r>
          </w:p>
        </w:tc>
        <w:tc>
          <w:tcPr>
            <w:tcW w:type="dxa" w:w="1063"/>
          </w:tcPr>
          <w:p>
            <w:r>
              <w:t>Yes</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Cardiogenic shock (LVEF 20%, post–acute myocardial infarction)</w:t>
            </w:r>
            <w:r>
              <w:rPr>
                <w:rFonts w:ascii="微软雅黑" w:hAnsi="微软雅黑" w:eastAsia="微软雅黑"/>
                <w:b/>
                <w:i w:val="0"/>
                <w:sz w:val="18"/>
              </w:rPr>
            </w: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evaluation items in conjunction with this hospital’s drug inventory.</w:t>
        <w:br/>
        <w:br/>
        <w:t>Requirements: For recommended medications, the full product name and specification available in the hospital inventory must be used; if a non-inventory medication is required, it must be clearly labeled as “This medication is not listed in this hospital’s inventory and requires external purchase/temporary compounding,” and an in-inventory alternative plan or the acquisition process must be provided.</w:t>
      </w:r>
    </w:p>
    <w:p/>
    <w:p>
      <w:pPr>
        <w:pStyle w:val="Heading3"/>
      </w:pPr>
      <w:r>
        <w:rPr>
          <w:color w:val="2980B9"/>
        </w:rPr>
        <w:t>Q1  Formulation of a hemodynamic pharmacotherapy regimen for cardiogenic shock</w:t>
      </w:r>
    </w:p>
    <w:p>
      <w:pPr>
        <w:spacing w:before="80" w:after="120" w:line="408" w:lineRule="auto"/>
        <w:ind w:left="227" w:right="227"/>
        <w:shd w:fill="EBF5FB" w:val="clear"/>
      </w:pPr>
      <w:r>
        <w:rPr>
          <w:rFonts w:ascii="微软雅黑" w:hAnsi="微软雅黑" w:eastAsia="微软雅黑"/>
          <w:b w:val="0"/>
          <w:i w:val="0"/>
          <w:sz w:val="22"/>
        </w:rPr>
        <w:t>A 63-year-old male with LVEF 20% after AMI complicated by cardiogenic shock, cardiac index 1.6 L/min/m², MAP 68 mmHg, currently on CRRT. The attending physician asks you, as a clinical pharmacist, to provide comprehensive recommendations for the current hemodynamic support medications.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Adverse Reactions and Adjustments During the Administration of Hemodynamic Medications</w:t>
      </w:r>
    </w:p>
    <w:p>
      <w:pPr>
        <w:spacing w:before="80" w:after="120" w:line="408" w:lineRule="auto"/>
        <w:ind w:left="227" w:right="227"/>
        <w:shd w:fill="EBF5FB" w:val="clear"/>
      </w:pPr>
      <w:r>
        <w:rPr>
          <w:rFonts w:ascii="微软雅黑" w:hAnsi="微软雅黑" w:eastAsia="微软雅黑"/>
          <w:b w:val="0"/>
          <w:i w:val="0"/>
          <w:sz w:val="22"/>
        </w:rPr>
        <w:t>Six hours after initiating hemodynamic support therapy, the patient’s heart rate increased from 92 beats/min to 138 beats/min, with frequent premature ventricular contractions. MAP was 72 mmHg, but lactate did not decrease compared with baseline; serum potassium was 3.2 mmol/L and serum magnesium was 0.7 mmol/L. The attending physician asks you, as the clinical pharmacist, to provide recommendations regarding the current medication management.</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Initial Antimicrobial Regimen and Dosing Strategy for Suspected Severe Infection in the Setting of CRRT</w:t>
      </w:r>
    </w:p>
    <w:p>
      <w:pPr>
        <w:spacing w:before="80" w:after="120" w:line="408" w:lineRule="auto"/>
        <w:ind w:left="227" w:right="227"/>
        <w:shd w:fill="EBF5FB" w:val="clear"/>
      </w:pPr>
      <w:r>
        <w:rPr>
          <w:rFonts w:ascii="微软雅黑" w:hAnsi="微软雅黑" w:eastAsia="微软雅黑"/>
          <w:b w:val="0"/>
          <w:i w:val="0"/>
          <w:sz w:val="22"/>
        </w:rPr>
        <w:t>On hospital day 2, the patient developed a fever of 39.0°C, WBC 18×10^9/L, and PCT 12 ng/mL, with increased sputum volume accompanied by worsening oxygenation. Hospital-acquired pneumonia/ventilator-associated pneumonia was suspected. The patient remains in cardiogenic shock and is receiving CRRT. The attending physician requests your recommendations, as a clinical pharmacist, regarding empiric antimicrobial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Based on the clinical decision-making in Task 1, produce documentation that can be directly implemented.</w:t>
        <w:br/>
        <w:br/>
        <w:t>Requirements: Any medications mentioned in the document must use the full in-stock name and specification. Medications not in stock must be labeled in the document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Based on the established treatment decision for this patient—“cardiogenic shock (predominantly low cardiac output) + CRRT + suspected severe infection”—please develop an executable pharmacy monitoring document for the inpatient team. It should be usable directly for implementation, to guide dosing, monitoring, warning thresholds, and management actions for vasoactive/inotropic therapy, electrolyte correction, and empiric antimicrobial therapy, and it must reflect the medication acquisition process under inventory constraints.</w:t>
      </w:r>
    </w:p>
    <w:p>
      <w:pPr>
        <w:spacing w:before="80" w:after="40" w:line="336" w:lineRule="auto"/>
      </w:pPr>
      <w:r>
        <w:rPr>
          <w:rFonts w:ascii="微软雅黑" w:hAnsi="微软雅黑" w:eastAsia="微软雅黑"/>
          <w:b w:val="0"/>
          <w:i w:val="0"/>
          <w:color w:val="AAAAAA"/>
          <w:sz w:val="16"/>
        </w:rPr>
        <w:t>Answer Section (Task 2 Written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