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67E22"/>
          <w:sz w:val="32"/>
        </w:rPr>
        <w:t>Hematology — Targeted Therapy Monitoring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hema_016 · Task 1: 3 questions + Task 2: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33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84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BSA(m²)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1.9</w:t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79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77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ALT(U/L)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26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AST(U/L)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59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PLT(×10⁹/L)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165</w:t>
            </w:r>
          </w:p>
        </w:tc>
        <w:tc>
          <w:tcPr>
            <w:tcW w:type="dxa" w:w="1063"/>
            <w:shd w:fill="ECF0F1" w:val="clear"/>
          </w:tcPr>
          <w:p>
            <w:r>
              <w:t>Current targeted therapy regimen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Imatinib 400 mg once daily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Chronic lymphocytic leukemia (CLL)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Comprehensive clinical pharmacy evaluation. Please complete the following comprehensive assessment tasks in conjunction with this hospital’s medication inventory.</w:t>
        <w:br/>
        <w:br/>
        <w:t>Requirements: All recommended medications must use the full medication name and specification as listed in the inventory. If a medication not included in the inventory is required, clearly indicate “This medication is not listed in this hospital’s inventory and must be purchased externally/temporarily compounded,” and provide an in-inventory alternative plan or the procurement/obtaining process.</w:t>
      </w:r>
    </w:p>
    <w:p/>
    <w:p>
      <w:pPr>
        <w:pStyle w:val="Heading3"/>
      </w:pPr>
      <w:r>
        <w:rPr>
          <w:color w:val="2980B9"/>
        </w:rPr>
        <w:t>Q1  Re-evaluation and Optimization of the Targeted Therapy Regimen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33-year-old female diagnosed with chronic lymphocytic leukemia (CLL) is currently receiving a targeted therapy regimen of “imatinib 400 mg qd.” Renal function: Scr 79 μmol/L, eGFR 77 mL/min/1.73 m²; liver function: ALT 26 U/L, AST 59 U/L; PLT 165×10⁹/L. The attending physician has asked you, as a clinical pharmacist, to provide comprehensive pharmaceutical recommendations regarding the appropriateness of the current targeted therapy and the next steps in medication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Management of Bleeding Risk Events Related to Targeted Therapy and Perioperative Management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In the third week after adjustment of targeted therapy, the patient developed gingival oozing and multiple subcutaneous ecchymoses, with no clear history of trauma; vital signs were stable. Repeat testing showed a platelet count of 110×10⁹/L (decreased compared with prior) and Hb decreased by 12 g/L from baseline. Meanwhile, the patient is scheduled to undergo laparoscopic surgery for cholecystitis within 48 hours. The attending physician asks you, as a clinical pharmacist, to provide pharmaceutical recommendations regarding the current medications and perioperative medication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Design of infection prevention and empiric treatment pathways in immunosuppressed patients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In the second month of targeted therapy, the patient developed fever (38.6 °C) and dry cough. Complete blood count showed WBC 1.2×10⁹/L and ANC 0.4×10⁹/L. Chest CT suggested scattered ground-glass opacities in both lungs. There was no previous history of drug allergy. The attending physician asks you, as a clinical pharmacist, to provide pharmacotherapy recommendations regarding the current anti-infective management and preventive strategies.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implementation documentation. Based on the clinical decisions from Task 1, produce documentation that can be executed directly.</w:t>
        <w:br/>
        <w:br/>
        <w:t>Requirements: Medications mentioned in the documentation must use the full name and specification as listed in inventory. Medications not in inventory must be labeled in the documentation as “requires external purchase/temporary compounding,” and the procurement process must be described.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Infection Antibiotic Selection Workflow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Based on this patient scenario—“high-risk febrile neutropenia in the setting of targeted therapy with abnormal pulmonary imaging findings, concomitant bleeding risk, and a planned laparoscopic procedure”—draft an anti-infective medication workflow document that the clinical team can implement directly (covering first-dose therapy, escalation/de-escalation, treatment duration and criteria for discontinuation, as well as key monitoring items and triggers for specialist consultation).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Documentation: Please complete the form in full)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