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39C12"/>
          <w:sz w:val="32"/>
        </w:rPr>
        <w:t>Nephrology — CKD-MBD Management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nephro_005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a complete answer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57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Body 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69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12</w:t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Dialysis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iPTH(pg/mL)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90</w:t>
            </w:r>
          </w:p>
        </w:tc>
        <w:tc>
          <w:tcPr>
            <w:tcW w:type="dxa" w:w="1063"/>
            <w:shd w:fill="ECF0F1" w:val="clear"/>
          </w:tcPr>
          <w:p>
            <w:r>
              <w:t>Blood calcium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2.25</w:t>
            </w:r>
          </w:p>
        </w:tc>
        <w:tc>
          <w:tcPr>
            <w:tcW w:type="dxa" w:w="1063"/>
            <w:shd w:fill="ECF0F1" w:val="clear"/>
          </w:tcPr>
          <w:p>
            <w:r>
              <w:t>Serum phosphorus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1.4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25-OHD(ng/mL)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12</w:t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CKD G5-MBD（iPTH 90 pg/mL）</w:t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and in conjunction with this hospital’s drug inventory, complete the following comprehensive assessment questions.</w:t>
        <w:br/>
        <w:br/>
        <w:t>Requirements: Any recommended medication must use the full drug name and specification as listed in the hospital inventory; if a non-inventory medication is required, it must be clearly labeled “This medication is not listed in this hospital’s inventory and requires external purchase/temporary compounding,” and an in-inventory alternative plan or an acquisition process must be provided.</w:t>
      </w:r>
    </w:p>
    <w:p/>
    <w:p>
      <w:pPr>
        <w:pStyle w:val="Heading3"/>
      </w:pPr>
      <w:r>
        <w:rPr>
          <w:color w:val="2980B9"/>
        </w:rPr>
        <w:t>Q1  Developing an initial comprehensive pharmacotherapy regimen for CKD G5-MBD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57-year-old female with CKD G5 (eGFR 12 mL/min/1.73 m², not on dialysis) was diagnosed with CKD G5-MBD. Current laboratory results: iPTH 90 pg/mL, serum calcium 2.25 mmol/L, serum phosphorus 1.4 mmol/L, 25-OHD 12 ng/mL. The attending physician plans to initiate MBD-related pharmacotherapy and would like to use existing formulary medications as much as possible; please provide comprehensive pharmaceutical care recommendations as a clinical pharmacist.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Treatment plan adjustment for abnormal laboratory results after treatment implementation (risk of hypercalcemia/hyperphosphatemia)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admission, treatment was initiated as prescribed to correct vitamin D deficiency and control phosphate. Two weeks later, repeat testing showed: serum calcium 2.62 mmol/L, serum phosphate 1.95 mmol/L, and iPTH 60 pg/mL. The patient reported decreased appetite and mild nausea. The attending physician asked you, as a clinical pharmacist, to adjust the current medication regimen and provide recommendations for subsequent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Management of hypocalcemia risk associated with calcimimetic therapy (focused on cinacalcet)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During subsequent follow-up, the patient started an oral medication recommended by an outside hospital for “control of secondary hyperparathyroidism.” On repeat testing: serum calcium 1.98 mmol/L, serum phosphorus 1.55 mmol/L, iPTH 180 pg/mL. The patient developed numbness of the hands and feet. The attending physician hopes to correct the symptoms as soon as possible and to standardize subsequent CKD-MBD management; please provide pharmaceutical care recommendations as a clinical pharmacist.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▸ Response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execution documentation. Please generate directly actionable documentation based on the clinical decision from Task 1.</w:t>
        <w:br/>
        <w:br/>
        <w:t>Requirements: Any medications mentioned in the document must use the full in-stock name and specification. Any medications not in stock must be labeled in the document as “requires external purchase/temporary compounding,” and the procurement process must be described.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 develop a pharmaceutical monitoring document that the healthcare team can implement directly, based on this patient’s initial comprehensive medication regimen for CKD G5-MBD and the potential subsequent risks of hypercalcemia/hyperphosphatemia or cinacalcet-associated hypocalcemia. The document should guide medication procurement, administration and dosing, laboratory and symptom monitoring, early warning and management measures, and follow-up and reassessment scheduling.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2 document;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