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7AE60"/>
          <w:sz w:val="32"/>
        </w:rPr>
        <w:t>Critical Care ICU — Antibiotic Selection for Sepsis</w:t>
      </w:r>
    </w:p>
    <w:p>
      <w:pPr>
        <w:spacing w:before="0" w:after="40" w:line="336" w:lineRule="auto"/>
      </w:pPr>
      <w:r>
        <w:rPr>
          <w:rFonts w:ascii="微软雅黑" w:hAnsi="微软雅黑" w:eastAsia="微软雅黑"/>
          <w:b w:val="0"/>
          <w:i w:val="0"/>
          <w:color w:val="999999"/>
          <w:sz w:val="18"/>
        </w:rPr>
        <w:t>Scenario Number: icu_015 · Task 1 × 3 questions + Task 2 × 1 question · Total: 16 points</w:t>
      </w:r>
    </w:p>
    <w:p>
      <w:pPr>
        <w:spacing w:before="0" w:after="120" w:line="336" w:lineRule="auto"/>
      </w:pPr>
      <w:r>
        <w:rPr>
          <w:rFonts w:ascii="微软雅黑" w:hAnsi="微软雅黑" w:eastAsia="微软雅黑"/>
          <w:b/>
          <w:i w:val="0"/>
          <w:color w:val="E74C3C"/>
          <w:sz w:val="18"/>
        </w:rPr>
        <w:t>Please provide complete answers in the [Answer Area] for each question.</w:t>
      </w:r>
    </w:p>
    <w:p>
      <w:pPr>
        <w:spacing w:before="80" w:after="120" w:line="336" w:lineRule="auto"/>
      </w:pPr>
      <w:r>
        <w:rPr>
          <w:rFonts w:ascii="微软雅黑" w:hAnsi="微软雅黑" w:eastAsia="微软雅黑"/>
          <w:b/>
          <w:i w:val="0"/>
          <w:color w:val="16A085"/>
          <w:sz w:val="20"/>
        </w:rPr>
        <w:t>Basic Patient Information</w:t>
      </w:r>
    </w:p>
    <w:tbl>
      <w:tblPr>
        <w:tblStyle w:val="TableGrid"/>
        <w:tblW w:type="auto" w:w="0"/>
        <w:jc w:val="center"/>
        <w:tblLook w:firstColumn="1" w:firstRow="1" w:lastColumn="0" w:lastRow="0" w:noHBand="0" w:noVBand="1" w:val="04A0"/>
      </w:tblPr>
      <w:tblGrid>
        <w:gridCol w:w="1063"/>
        <w:gridCol w:w="1063"/>
        <w:gridCol w:w="1063"/>
        <w:gridCol w:w="1063"/>
        <w:gridCol w:w="1063"/>
        <w:gridCol w:w="1063"/>
        <w:gridCol w:w="1063"/>
        <w:gridCol w:w="1063"/>
      </w:tblGrid>
      <w:tr>
        <w:tc>
          <w:tcPr>
            <w:tcW w:type="dxa" w:w="1063"/>
            <w:shd w:fill="ECF0F1" w:val="clear"/>
          </w:tcPr>
          <w:p>
            <w:r>
              <w:t>Age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79</w:t>
            </w:r>
          </w:p>
        </w:tc>
        <w:tc>
          <w:tcPr>
            <w:tcW w:type="dxa" w:w="1063"/>
            <w:shd w:fill="ECF0F1" w:val="clear"/>
          </w:tcPr>
          <w:p>
            <w:r>
              <w:t>Sex</w:t>
            </w:r>
            <w:r>
              <w:rPr>
                <w:rFonts w:ascii="微软雅黑" w:hAnsi="微软雅黑" w:eastAsia="微软雅黑"/>
                <w:b/>
                <w:i w:val="0"/>
                <w:color w:val="7F8C8D"/>
                <w:sz w:val="16"/>
              </w:rPr>
            </w:r>
          </w:p>
        </w:tc>
        <w:tc>
          <w:tcPr>
            <w:tcW w:type="dxa" w:w="1063"/>
          </w:tcPr>
          <w:p>
            <w:r>
              <w:t>Female</w:t>
            </w:r>
            <w:r>
              <w:rPr>
                <w:rFonts w:ascii="微软雅黑" w:hAnsi="微软雅黑" w:eastAsia="微软雅黑"/>
                <w:b/>
                <w:i w:val="0"/>
                <w:sz w:val="18"/>
              </w:rPr>
            </w:r>
          </w:p>
        </w:tc>
        <w:tc>
          <w:tcPr>
            <w:tcW w:type="dxa" w:w="1063"/>
            <w:shd w:fill="ECF0F1" w:val="clear"/>
          </w:tcPr>
          <w:p>
            <w:r>
              <w:t>Weight (kg)</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56</w:t>
            </w:r>
          </w:p>
        </w:tc>
        <w:tc>
          <w:tcPr>
            <w:tcW w:type="dxa" w:w="1063"/>
            <w:shd w:fill="ECF0F1" w:val="clear"/>
          </w:tcPr>
          <w:p>
            <w:r>
              <w:t>Creatinine (µmol/L)</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202</w:t>
            </w:r>
          </w:p>
        </w:tc>
      </w:tr>
      <w:tr>
        <w:tc>
          <w:tcPr>
            <w:tcW w:type="dxa" w:w="1063"/>
            <w:shd w:fill="ECF0F1" w:val="clear"/>
          </w:tcPr>
          <w:p>
            <w:r>
              <w:t>Estimated eGFR (mL/min/1.73 m²)</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22</w:t>
            </w:r>
          </w:p>
        </w:tc>
        <w:tc>
          <w:tcPr>
            <w:tcW w:type="dxa" w:w="1063"/>
            <w:shd w:fill="ECF0F1" w:val="clear"/>
          </w:tcPr>
          <w:p>
            <w:r/>
            <w:r>
              <w:rPr>
                <w:rFonts w:ascii="微软雅黑" w:hAnsi="微软雅黑" w:eastAsia="微软雅黑"/>
                <w:b/>
                <w:i w:val="0"/>
                <w:color w:val="7F8C8D"/>
                <w:sz w:val="16"/>
              </w:rPr>
              <w:t>CRRT</w:t>
            </w:r>
          </w:p>
        </w:tc>
        <w:tc>
          <w:tcPr>
            <w:tcW w:type="dxa" w:w="1063"/>
          </w:tcPr>
          <w:p>
            <w:r>
              <w:t>No</w:t>
            </w:r>
            <w:r>
              <w:rPr>
                <w:rFonts w:ascii="微软雅黑" w:hAnsi="微软雅黑" w:eastAsia="微软雅黑"/>
                <w:b/>
                <w:i w:val="0"/>
                <w:sz w:val="18"/>
              </w:rPr>
            </w:r>
          </w:p>
        </w:tc>
        <w:tc>
          <w:tcPr>
            <w:tcW w:type="dxa" w:w="1063"/>
            <w:shd w:fill="ECF0F1" w:val="clear"/>
          </w:tcPr>
          <w:p>
            <w:r>
              <w:t>SOFA score</w:t>
            </w:r>
            <w:r>
              <w:rPr>
                <w:rFonts w:ascii="微软雅黑" w:hAnsi="微软雅黑" w:eastAsia="微软雅黑"/>
                <w:b/>
                <w:i w:val="0"/>
                <w:color w:val="7F8C8D"/>
                <w:sz w:val="16"/>
              </w:rPr>
            </w:r>
          </w:p>
        </w:tc>
        <w:tc>
          <w:tcPr>
            <w:tcW w:type="dxa" w:w="1063"/>
          </w:tcPr>
          <w:p>
            <w:r/>
            <w:r>
              <w:rPr>
                <w:rFonts w:ascii="微软雅黑" w:hAnsi="微软雅黑" w:eastAsia="微软雅黑"/>
                <w:b/>
                <w:i w:val="0"/>
                <w:sz w:val="18"/>
              </w:rPr>
              <w:t>8</w:t>
            </w:r>
          </w:p>
        </w:tc>
        <w:tc>
          <w:tcPr>
            <w:tcW w:type="dxa" w:w="1063"/>
            <w:shd w:fill="ECF0F1" w:val="clear"/>
          </w:tcPr>
          <w:p>
            <w:r/>
            <w:r>
              <w:rPr>
                <w:rFonts w:ascii="微软雅黑" w:hAnsi="微软雅黑" w:eastAsia="微软雅黑"/>
                <w:b/>
                <w:i w:val="0"/>
                <w:color w:val="7F8C8D"/>
                <w:sz w:val="16"/>
              </w:rPr>
              <w:t>MAP(mmHg)</w:t>
            </w:r>
          </w:p>
        </w:tc>
        <w:tc>
          <w:tcPr>
            <w:tcW w:type="dxa" w:w="1063"/>
          </w:tcPr>
          <w:p>
            <w:r/>
            <w:r>
              <w:rPr>
                <w:rFonts w:ascii="微软雅黑" w:hAnsi="微软雅黑" w:eastAsia="微软雅黑"/>
                <w:b/>
                <w:i w:val="0"/>
                <w:sz w:val="18"/>
              </w:rPr>
              <w:t>63</w:t>
            </w:r>
          </w:p>
        </w:tc>
      </w:tr>
      <w:tr>
        <w:tc>
          <w:tcPr>
            <w:tcW w:type="dxa" w:w="1063"/>
            <w:shd w:fill="ECF0F1" w:val="clear"/>
          </w:tcPr>
          <w:p>
            <w:r>
              <w:t>Diagnosis</w:t>
            </w:r>
            <w:r>
              <w:rPr>
                <w:rFonts w:ascii="微软雅黑" w:hAnsi="微软雅黑" w:eastAsia="微软雅黑"/>
                <w:b/>
                <w:i w:val="0"/>
                <w:color w:val="7F8C8D"/>
                <w:sz w:val="16"/>
              </w:rPr>
            </w:r>
          </w:p>
        </w:tc>
        <w:tc>
          <w:tcPr>
            <w:tcW w:type="dxa" w:w="1063"/>
          </w:tcPr>
          <w:p>
            <w:r>
              <w:t>Septic shock; pulmonary-source infection (VAP). Pathogen: Pseudomonas aeruginosa (XDR, extensively drug-resistant).</w:t>
            </w:r>
            <w:r>
              <w:rPr>
                <w:rFonts w:ascii="微软雅黑" w:hAnsi="微软雅黑" w:eastAsia="微软雅黑"/>
                <w:b/>
                <w:i w:val="0"/>
                <w:sz w:val="18"/>
              </w:rPr>
            </w:r>
          </w:p>
        </w:tc>
        <w:tc>
          <w:tcPr>
            <w:tcW w:type="dxa" w:w="1063"/>
          </w:tcPr>
          <w:p/>
        </w:tc>
        <w:tc>
          <w:tcPr>
            <w:tcW w:type="dxa" w:w="1063"/>
          </w:tcPr>
          <w:p/>
        </w:tc>
        <w:tc>
          <w:tcPr>
            <w:tcW w:type="dxa" w:w="1063"/>
          </w:tcPr>
          <w:p/>
        </w:tc>
        <w:tc>
          <w:tcPr>
            <w:tcW w:type="dxa" w:w="1063"/>
          </w:tcPr>
          <w:p/>
        </w:tc>
        <w:tc>
          <w:tcPr>
            <w:tcW w:type="dxa" w:w="1063"/>
          </w:tcPr>
          <w:p/>
        </w:tc>
        <w:tc>
          <w:tcPr>
            <w:tcW w:type="dxa" w:w="1063"/>
          </w:tcPr>
          <w:p/>
        </w:tc>
      </w:tr>
    </w:tbl>
    <w:p/>
    <w:p>
      <w:pPr>
        <w:pStyle w:val="Heading2"/>
      </w:pPr>
      <w:r>
        <w:rPr>
          <w:color w:val="2980B9"/>
        </w:rPr>
        <w:t>Task 1: Comprehensive Clinical Pharmacy Assessment (12 points)</w:t>
      </w:r>
    </w:p>
    <w:p>
      <w:pPr>
        <w:spacing w:before="120" w:after="120" w:line="360" w:lineRule="auto"/>
        <w:ind w:left="170" w:right="170"/>
        <w:shd w:fill="EAF2FF" w:val="clear"/>
      </w:pPr>
      <w:r>
        <w:rPr>
          <w:rFonts w:ascii="微软雅黑" w:hAnsi="微软雅黑" w:eastAsia="微软雅黑"/>
          <w:b w:val="0"/>
          <w:i w:val="0"/>
          <w:color w:val="1A4A6B"/>
          <w:sz w:val="20"/>
        </w:rPr>
        <w:t>Task 1: Based on a comprehensive clinical pharmacy assessment, please complete the following comprehensive evaluation items in conjunction with this hospital’s drug inventory.</w:t>
        <w:br/>
        <w:br/>
        <w:t>Requirements: For any recommended medication, the full drug name and specification as listed in the inventory must be used; if a medication outside the inventory is required, it must be clearly labeled “This medication is not listed in this hospital’s inventory and requires external purchase/temporary compounding,” and an in-inventory alternative plan or an acquisition process must be provided.</w:t>
      </w:r>
    </w:p>
    <w:p/>
    <w:p>
      <w:pPr>
        <w:pStyle w:val="Heading3"/>
      </w:pPr>
      <w:r>
        <w:rPr>
          <w:color w:val="2980B9"/>
        </w:rPr>
        <w:t>Q1  Formulation of an initial anti-infective regimen for VAP caused by XDR Pseudomonas aeruginosa complicated by septic shock (under formulary/stock constraints)</w:t>
      </w:r>
    </w:p>
    <w:p>
      <w:pPr>
        <w:spacing w:before="80" w:after="120" w:line="408" w:lineRule="auto"/>
        <w:ind w:left="227" w:right="227"/>
        <w:shd w:fill="EBF5FB" w:val="clear"/>
      </w:pPr>
      <w:r>
        <w:rPr>
          <w:rFonts w:ascii="微软雅黑" w:hAnsi="微软雅黑" w:eastAsia="微软雅黑"/>
          <w:b w:val="0"/>
          <w:i w:val="0"/>
          <w:sz w:val="22"/>
        </w:rPr>
        <w:t>A 79-year-old woman, 56 kg, with septic shock (SOFA 8, MAP 63 mmHg) and VAP. The pathogen has been identified as Pseudomonas aeruginosa (XDR, extensively drug-resistant). The patient’s creatinine is 202 μmol/L, with an eGFR of approximately 22 mL/min/1.73 m², and she is not receiving CRRT. The attending physician requests that you, as a clinical pharmacist, provide a complete pharmaceutical recommendation for her anti-infective treatment under the constraints of the medications currently available in this hospital.</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8E44AD"/>
        </w:rPr>
        <w:t>Q2  Adjustment of Anti-infective Regimens and TDM Under the Risk of Acute Kidney Injury/Drug Toxicity During Treatment</w:t>
      </w:r>
    </w:p>
    <w:p>
      <w:pPr>
        <w:spacing w:before="80" w:after="120" w:line="408" w:lineRule="auto"/>
        <w:ind w:left="227" w:right="227"/>
        <w:shd w:fill="EBF5FB" w:val="clear"/>
      </w:pPr>
      <w:r>
        <w:rPr>
          <w:rFonts w:ascii="微软雅黑" w:hAnsi="微软雅黑" w:eastAsia="微软雅黑"/>
          <w:b w:val="0"/>
          <w:i w:val="0"/>
          <w:sz w:val="22"/>
        </w:rPr>
        <w:t>On day 2 after initiation of the above anti-infective therapy, the patient’s urine output decreased; serum creatinine rose from 202 μmol/L to 260 μmol/L, and the estimated eGFR declined to approximately 16 mL/min/1.73 m². Hemodynamics still required vasopressors for maintenance. The attending physician asks you, as a clinical pharmacist, to provide pharmacotherapy recommendations regarding subsequent management of the current medications.</w:t>
      </w:r>
    </w:p>
    <w:p>
      <w:pPr>
        <w:spacing w:before="80" w:after="40" w:line="336" w:lineRule="auto"/>
      </w:pPr>
      <w:r>
        <w:rPr>
          <w:rFonts w:ascii="微软雅黑" w:hAnsi="微软雅黑" w:eastAsia="微软雅黑"/>
          <w:b w:val="0"/>
          <w:i w:val="0"/>
          <w:color w:val="AAAAAA"/>
          <w:sz w:val="16"/>
        </w:rPr>
        <w:t>Answer Area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3"/>
      </w:pPr>
      <w:r>
        <w:rPr>
          <w:color w:val="27AE60"/>
        </w:rPr>
        <w:t>Q3  Optimization of analgesia and sedation in critically ill patients with hemodynamic instability (with limited inventory)</w:t>
      </w:r>
    </w:p>
    <w:p>
      <w:pPr>
        <w:spacing w:before="80" w:after="120" w:line="408" w:lineRule="auto"/>
        <w:ind w:left="227" w:right="227"/>
        <w:shd w:fill="EBF5FB" w:val="clear"/>
      </w:pPr>
      <w:r>
        <w:rPr>
          <w:rFonts w:ascii="微软雅黑" w:hAnsi="微软雅黑" w:eastAsia="微软雅黑"/>
          <w:b w:val="0"/>
          <w:i w:val="0"/>
          <w:sz w:val="22"/>
        </w:rPr>
        <w:t>The patient requires mechanical ventilation with analgesia and sedation due to VAP. The current MAP is approximately 63 mmHg and vasopressors are still being used to maintain blood pressure; the patient has renal impairment (eGFR approximately 22). The physician reports nocturnal agitation and ventilator asynchrony and plans to intensify analgesia and sedation. The attending physician asks you, as a clinical pharmacist, to provide pharmacotherapy recommendations regarding medications for analgesia and sedation.</w:t>
      </w:r>
    </w:p>
    <w:p>
      <w:pPr>
        <w:spacing w:before="80" w:after="40" w:line="336" w:lineRule="auto"/>
      </w:pPr>
      <w:r>
        <w:rPr>
          <w:rFonts w:ascii="微软雅黑" w:hAnsi="微软雅黑" w:eastAsia="微软雅黑"/>
          <w:b w:val="0"/>
          <w:i w:val="0"/>
          <w:color w:val="AAAAAA"/>
          <w:sz w:val="16"/>
        </w:rPr>
        <w:t>Answer Section (Task 1 Comprehensive Assessment)</w:t>
      </w:r>
    </w:p>
    <w:tbl>
      <w:tblPr>
        <w:tblStyle w:val="TableGrid"/>
        <w:tblW w:type="auto" w:w="0"/>
        <w:jc w:val="center"/>
        <w:tblLook w:firstColumn="1" w:firstRow="1" w:lastColumn="0" w:lastRow="0" w:noHBand="0" w:noVBand="1" w:val="04A0"/>
      </w:tblPr>
      <w:tblGrid>
        <w:gridCol w:w="8504"/>
      </w:tblGrid>
      <w:tr>
        <w:trPr>
          <w:trHeight w:val="6400" w:hRule="exact"/>
        </w:trPr>
        <w:tc>
          <w:tcPr>
            <w:tcW w:type="dxa" w:w="8504"/>
            <w:shd w:fill="FAFAFA" w:val="clear"/>
          </w:tcPr>
          <w:p>
            <w:pPr>
              <w:spacing w:before="80"/>
            </w:pPr>
            <w:r/>
          </w:p>
        </w:tc>
      </w:tr>
    </w:tbl>
    <w:p>
      <w:pPr>
        <w:spacing w:after="80"/>
      </w:pPr>
    </w:p>
    <w:p/>
    <w:p>
      <w:pPr>
        <w:pStyle w:val="Heading2"/>
      </w:pPr>
      <w:r>
        <w:rPr>
          <w:color w:val="D4AC0D"/>
        </w:rPr>
        <w:t>Task 2: Clinical Implementation Documentation (4 points)</w:t>
      </w:r>
    </w:p>
    <w:p>
      <w:pPr>
        <w:spacing w:before="120" w:after="120" w:line="360" w:lineRule="auto"/>
        <w:ind w:left="170" w:right="170"/>
        <w:shd w:fill="FEF9E7" w:val="clear"/>
      </w:pPr>
      <w:r>
        <w:rPr>
          <w:rFonts w:ascii="微软雅黑" w:hAnsi="微软雅黑" w:eastAsia="微软雅黑"/>
          <w:b w:val="0"/>
          <w:i w:val="0"/>
          <w:color w:val="1A4A6B"/>
          <w:sz w:val="20"/>
        </w:rPr>
        <w:t>Task 2: Clinical Implementation Documentation. Based on the clinical decision-making in Task 1, produce documentation that can be directly implemented.</w:t>
        <w:br/>
        <w:br/>
        <w:t>Requirements: Any medications mentioned in the document must use the full names and specifications as listed in inventory. Medications not in inventory must be labeled in the document as “requires external purchase/temporary compounding,” and the procurement process must be specified.</w:t>
      </w:r>
    </w:p>
    <w:p>
      <w:pPr>
        <w:spacing w:before="120" w:after="80" w:line="336" w:lineRule="auto"/>
      </w:pPr>
      <w:r>
        <w:rPr>
          <w:rFonts w:ascii="微软雅黑" w:hAnsi="微软雅黑" w:eastAsia="微软雅黑"/>
          <w:b/>
          <w:i w:val="0"/>
          <w:color w:val="7D6608"/>
          <w:sz w:val="20"/>
        </w:rPr>
        <w:t>Document Type: Dose Adjustment Decision Table</w:t>
      </w:r>
    </w:p>
    <w:p>
      <w:pPr>
        <w:spacing w:before="80" w:after="120" w:line="408" w:lineRule="auto"/>
        <w:ind w:left="227" w:right="227"/>
        <w:shd w:fill="FEF9E7" w:val="clear"/>
      </w:pPr>
      <w:r>
        <w:rPr>
          <w:rFonts w:ascii="微软雅黑" w:hAnsi="微软雅黑" w:eastAsia="微软雅黑"/>
          <w:b w:val="0"/>
          <w:i w:val="0"/>
          <w:sz w:val="22"/>
        </w:rPr>
        <w:t>Please, based on this patient’s current condition (79 years old, eGFR approximately 22 mL/min/1.73 m², septic shock complicated by VAP, pathogen: XDR Pseudomonas aeruginosa) and our hospital’s inventory constraints, generate an antimicrobial dosing adjustment decision document for the inpatient team that can be used directly for order modification and execution, and include TDM/therapy discontinuation and reassessment strategies under the risk of acute kidney injury (especially for aminoglycosides).</w:t>
      </w:r>
    </w:p>
    <w:p>
      <w:pPr>
        <w:spacing w:before="80" w:after="40" w:line="336" w:lineRule="auto"/>
      </w:pPr>
      <w:r>
        <w:rPr>
          <w:rFonts w:ascii="微软雅黑" w:hAnsi="微软雅黑" w:eastAsia="微软雅黑"/>
          <w:b w:val="0"/>
          <w:i w:val="0"/>
          <w:color w:val="AAAAAA"/>
          <w:sz w:val="16"/>
        </w:rPr>
        <w:t>Answer Section (Task 2 Written Document; please complete the form in full)</w:t>
      </w:r>
    </w:p>
    <w:tbl>
      <w:tblPr>
        <w:tblStyle w:val="TableGrid"/>
        <w:tblW w:type="auto" w:w="0"/>
        <w:jc w:val="center"/>
        <w:tblLook w:firstColumn="1" w:firstRow="1" w:lastColumn="0" w:lastRow="0" w:noHBand="0" w:noVBand="1" w:val="04A0"/>
      </w:tblPr>
      <w:tblGrid>
        <w:gridCol w:w="8504"/>
      </w:tblGrid>
      <w:tr>
        <w:trPr>
          <w:trHeight w:val="17600" w:hRule="exact"/>
        </w:trPr>
        <w:tc>
          <w:tcPr>
            <w:tcW w:type="dxa" w:w="8504"/>
            <w:shd w:fill="FFFEF5" w:val="clear"/>
          </w:tcPr>
          <w:p>
            <w:pPr>
              <w:spacing w:before="80"/>
            </w:pPr>
            <w:r/>
          </w:p>
        </w:tc>
      </w:tr>
    </w:tbl>
    <w:p>
      <w:pPr>
        <w:spacing w:after="80"/>
      </w:pPr>
    </w:p>
    <w:sectPr w:rsidR="00FC693F" w:rsidRPr="0006063C" w:rsidSect="00034616">
      <w:headerReference w:type="default" r:id="rId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微软雅黑" w:hAnsi="微软雅黑" w:eastAsia="微软雅黑"/>
        <w:b w:val="0"/>
        <w:i w:val="0"/>
        <w:color w:val="999999"/>
        <w:sz w:val="16"/>
      </w:rPr>
      <w:t>Cross-Specialty Probe v2 — 临床药学综合评估试卷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