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Vasoactive Medication Management</w:t>
      </w:r>
    </w:p>
    <w:p>
      <w:pPr>
        <w:spacing w:before="0" w:after="40" w:line="336" w:lineRule="auto"/>
      </w:pPr>
      <w:r>
        <w:rPr>
          <w:rFonts w:ascii="微软雅黑" w:hAnsi="微软雅黑" w:eastAsia="微软雅黑"/>
          <w:b w:val="0"/>
          <w:i w:val="0"/>
          <w:color w:val="999999"/>
          <w:sz w:val="18"/>
        </w:rPr>
        <w:t>Scenario ID: icu_012 · Task 1: 3 questions + Task 2: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46</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91</w:t>
            </w:r>
          </w:p>
        </w:tc>
        <w:tc>
          <w:tcPr>
            <w:tcW w:type="dxa" w:w="1063"/>
            <w:shd w:fill="ECF0F1" w:val="clear"/>
          </w:tcPr>
          <w:p>
            <w:r>
              <w:t>Cardiac index (L/min/m²)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1.8</w:t>
            </w:r>
          </w:p>
        </w:tc>
      </w:tr>
      <w:tr>
        <w:tc>
          <w:tcPr>
            <w:tcW w:type="dxa" w:w="1063"/>
            <w:shd w:fill="ECF0F1" w:val="clear"/>
          </w:tcPr>
          <w:p>
            <w:r/>
            <w:r>
              <w:rPr>
                <w:rFonts w:ascii="微软雅黑" w:hAnsi="微软雅黑" w:eastAsia="微软雅黑"/>
                <w:b/>
                <w:i w:val="0"/>
                <w:color w:val="7F8C8D"/>
                <w:sz w:val="16"/>
              </w:rPr>
              <w:t>MAP(mmHg)</w:t>
            </w:r>
          </w:p>
        </w:tc>
        <w:tc>
          <w:tcPr>
            <w:tcW w:type="dxa" w:w="1063"/>
          </w:tcPr>
          <w:p>
            <w:r/>
            <w:r>
              <w:rPr>
                <w:rFonts w:ascii="微软雅黑" w:hAnsi="微软雅黑" w:eastAsia="微软雅黑"/>
                <w:b/>
                <w:i w:val="0"/>
                <w:sz w:val="18"/>
              </w:rPr>
              <w:t>62</w:t>
            </w:r>
          </w:p>
        </w:tc>
        <w:tc>
          <w:tcPr>
            <w:tcW w:type="dxa" w:w="1063"/>
            <w:shd w:fill="ECF0F1" w:val="clear"/>
          </w:tcPr>
          <w:p>
            <w:r/>
            <w:r>
              <w:rPr>
                <w:rFonts w:ascii="微软雅黑" w:hAnsi="微软雅黑" w:eastAsia="微软雅黑"/>
                <w:b/>
                <w:i w:val="0"/>
                <w:color w:val="7F8C8D"/>
                <w:sz w:val="16"/>
              </w:rPr>
              <w:t>CRRT</w:t>
            </w:r>
          </w:p>
        </w:tc>
        <w:tc>
          <w:tcPr>
            <w:tcW w:type="dxa" w:w="1063"/>
          </w:tcPr>
          <w:p>
            <w:r>
              <w:t>No</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Septic shock (MAP persistently &lt;65 mmHg, requiring high-dose vasopressors)</w:t>
            </w:r>
            <w:r>
              <w:rPr>
                <w:rFonts w:ascii="微软雅黑" w:hAnsi="微软雅黑" w:eastAsia="微软雅黑"/>
                <w:b/>
                <w:i w:val="0"/>
                <w:sz w:val="18"/>
              </w:rPr>
            </w: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assessment. Please complete the following comprehensive assessment questions in conjunction with this hospital’s drug inventory.</w:t>
        <w:br/>
        <w:br/>
        <w:t>Requirements: Recommended medications must use the full product name and specification available in inventory. If a medication outside the inventory is required, clearly indicate “This medication is not listed in this hospital’s inventory and requires external purchase/temporary compounding,” and provide an in-inventory alternative or the acquisition process.</w:t>
      </w:r>
    </w:p>
    <w:p/>
    <w:p>
      <w:pPr>
        <w:pStyle w:val="Heading3"/>
      </w:pPr>
      <w:r>
        <w:rPr>
          <w:color w:val="2980B9"/>
        </w:rPr>
        <w:t>Q1  Development of the initial hemodynamic pharmacologic support regimen for septic shock</w:t>
      </w:r>
    </w:p>
    <w:p>
      <w:pPr>
        <w:spacing w:before="80" w:after="120" w:line="408" w:lineRule="auto"/>
        <w:ind w:left="227" w:right="227"/>
        <w:shd w:fill="EBF5FB" w:val="clear"/>
      </w:pPr>
      <w:r>
        <w:rPr>
          <w:rFonts w:ascii="微软雅黑" w:hAnsi="微软雅黑" w:eastAsia="微软雅黑"/>
          <w:b w:val="0"/>
          <w:i w:val="0"/>
          <w:sz w:val="22"/>
        </w:rPr>
        <w:t>A 46-year-old male, 91 kg, with septic shock. MAP 62 mmHg and persistently &lt;65 mmHg; currently flagged as “high-dose vasopressors” yet still unable to achieve target. Cardiac index 1.8 L/min/m². The attending physician requests that you, as a clinical pharmacist, provide comprehensive pharmacotherapy recommendations for the next-step hemodynamic drug support plan for this patient.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sedation, analgesia, and hemodynamic adverse reactions in refractory shock</w:t>
      </w:r>
    </w:p>
    <w:p>
      <w:pPr>
        <w:spacing w:before="80" w:after="120" w:line="408" w:lineRule="auto"/>
        <w:ind w:left="227" w:right="227"/>
        <w:shd w:fill="EBF5FB" w:val="clear"/>
      </w:pPr>
      <w:r>
        <w:rPr>
          <w:rFonts w:ascii="微软雅黑" w:hAnsi="微软雅黑" w:eastAsia="微软雅黑"/>
          <w:b w:val="0"/>
          <w:i w:val="0"/>
          <w:sz w:val="22"/>
        </w:rPr>
        <w:t>After initiation of sedation and analgesia due to the need for respiratory support, the patient’s MAP further decreased compared with previously and required continued up-titration of vasopressors. Meanwhile, deepening sedation and possible neuromuscular blockade are planned. The attending physician asks you, as the clinical pharmacist, to provide pharmacotherapy recommendations regarding the patient’s sedation and analgesia and risk mitigation for related adverse reactions.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Stress Ulcer Prophylaxis and Adjustment of Acid-Suppressive Therapy Under the Risk of Gastrointestinal Bleeding</w:t>
      </w:r>
    </w:p>
    <w:p>
      <w:pPr>
        <w:spacing w:before="80" w:after="120" w:line="408" w:lineRule="auto"/>
        <w:ind w:left="227" w:right="227"/>
        <w:shd w:fill="EBF5FB" w:val="clear"/>
      </w:pPr>
      <w:r>
        <w:rPr>
          <w:rFonts w:ascii="微软雅黑" w:hAnsi="微软雅黑" w:eastAsia="微软雅黑"/>
          <w:b w:val="0"/>
          <w:i w:val="0"/>
          <w:sz w:val="22"/>
        </w:rPr>
        <w:t>This patient with septic shock developed coffee-ground gastric aspirate and positive fecal occult blood while receiving high-dose vasopressors, suggesting an increased risk of stress-related mucosal injury; prolonged fasting and parenteral nutritional support are also required. The attending physician asks you, as a clinical pharmacist, to provide recommendations on acid-suppressive therapy and related medication support strategies.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 Based on the clinical decision from Task 1, produce an immediately actionable document.</w:t>
        <w:br/>
        <w:br/>
        <w:t>Requirements: Any medications mentioned in the document must use the full in-stock name and specification. For medications not in inventory, label them in the document as “requires external purchase/temporary compounding” and describe the procurement process.</w:t>
      </w:r>
    </w:p>
    <w:p>
      <w:pPr>
        <w:spacing w:before="120" w:after="80" w:line="336" w:lineRule="auto"/>
      </w:pPr>
      <w:r>
        <w:rPr>
          <w:rFonts w:ascii="微软雅黑" w:hAnsi="微软雅黑" w:eastAsia="微软雅黑"/>
          <w:b/>
          <w:i w:val="0"/>
          <w:color w:val="7D6608"/>
          <w:sz w:val="20"/>
        </w:rPr>
        <w:t>Document Type: Pharmacy Monitoring Plan Form</w:t>
      </w:r>
    </w:p>
    <w:p>
      <w:pPr>
        <w:spacing w:before="80" w:after="120" w:line="408" w:lineRule="auto"/>
        <w:ind w:left="227" w:right="227"/>
        <w:shd w:fill="FEF9E7" w:val="clear"/>
      </w:pPr>
      <w:r>
        <w:rPr>
          <w:rFonts w:ascii="微软雅黑" w:hAnsi="微软雅黑" w:eastAsia="微软雅黑"/>
          <w:b w:val="0"/>
          <w:i w:val="0"/>
          <w:sz w:val="22"/>
        </w:rPr>
        <w:t>Please, based on the established clinical decisions, prepare a pharmaceutical monitoring and execution document for this patient with septic shock covering: “initial hemodynamic pharmacologic support + analgesia/sedation strategy for refractory shock + stress-ulcer–related acid-suppression strategy.” The document must be directly deliverable to the ICU medical and nursing team for table-based execution, and it must also reflect inventory limitations and include instructions for the procurement workflow for medications that require external purchase or temporary compounding.</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