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39C12"/>
          <w:sz w:val="32"/>
        </w:rPr>
        <w:t>Nephrology — Treatment of ANCA/IgA Nephropathy</w:t>
      </w:r>
    </w:p>
    <w:p>
      <w:pPr>
        <w:spacing w:before="0" w:after="40" w:line="336" w:lineRule="auto"/>
      </w:pPr>
      <w:r>
        <w:rPr>
          <w:rFonts w:ascii="微软雅黑" w:hAnsi="微软雅黑" w:eastAsia="微软雅黑"/>
          <w:b w:val="0"/>
          <w:i w:val="0"/>
          <w:color w:val="999999"/>
          <w:sz w:val="18"/>
        </w:rPr>
        <w:t>Scenario ID: nephro_010 · Task 1: 3 questions + Task 2: 1 question · Total: 16 points</w:t>
      </w:r>
    </w:p>
    <w:p>
      <w:pPr>
        <w:spacing w:before="0" w:after="120" w:line="336" w:lineRule="auto"/>
      </w:pPr>
      <w:r>
        <w:rPr>
          <w:rFonts w:ascii="微软雅黑" w:hAnsi="微软雅黑" w:eastAsia="微软雅黑"/>
          <w:b/>
          <w:i w:val="0"/>
          <w:color w:val="E74C3C"/>
          <w:sz w:val="18"/>
        </w:rPr>
        <w:t>Please provide complete answers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42</w:t>
            </w:r>
          </w:p>
        </w:tc>
        <w:tc>
          <w:tcPr>
            <w:tcW w:type="dxa" w:w="1063"/>
            <w:shd w:fill="ECF0F1" w:val="clear"/>
          </w:tcPr>
          <w:p>
            <w:r>
              <w:t>Sex</w:t>
            </w:r>
            <w:r>
              <w:rPr>
                <w:rFonts w:ascii="微软雅黑" w:hAnsi="微软雅黑" w:eastAsia="微软雅黑"/>
                <w:b/>
                <w:i w:val="0"/>
                <w:color w:val="7F8C8D"/>
                <w:sz w:val="16"/>
              </w:rPr>
            </w:r>
          </w:p>
        </w:tc>
        <w:tc>
          <w:tcPr>
            <w:tcW w:type="dxa" w:w="1063"/>
          </w:tcPr>
          <w:p>
            <w:r>
              <w:t>Female</w:t>
            </w:r>
            <w:r>
              <w:rPr>
                <w:rFonts w:ascii="微软雅黑" w:hAnsi="微软雅黑" w:eastAsia="微软雅黑"/>
                <w:b/>
                <w:i w:val="0"/>
                <w:sz w:val="18"/>
              </w:rPr>
            </w:r>
          </w:p>
        </w:tc>
        <w:tc>
          <w:tcPr>
            <w:tcW w:type="dxa" w:w="1063"/>
            <w:shd w:fill="ECF0F1" w:val="clear"/>
          </w:tcPr>
          <w:p>
            <w:r>
              <w:t>Body 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64</w:t>
            </w:r>
          </w:p>
        </w:tc>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487</w:t>
            </w:r>
          </w:p>
        </w:tc>
      </w:tr>
      <w:tr>
        <w:tc>
          <w:tcPr>
            <w:tcW w:type="dxa" w:w="1063"/>
            <w:shd w:fill="ECF0F1" w:val="clear"/>
          </w:tcPr>
          <w:p>
            <w:r/>
            <w:r>
              <w:rPr>
                <w:rFonts w:ascii="微软雅黑" w:hAnsi="微软雅黑" w:eastAsia="微软雅黑"/>
                <w:b/>
                <w:i w:val="0"/>
                <w:color w:val="7F8C8D"/>
                <w:sz w:val="16"/>
              </w:rPr>
              <w:t>eGFR(mL/min/1.73m²)</w:t>
            </w:r>
          </w:p>
        </w:tc>
        <w:tc>
          <w:tcPr>
            <w:tcW w:type="dxa" w:w="1063"/>
          </w:tcPr>
          <w:p>
            <w:r/>
            <w:r>
              <w:rPr>
                <w:rFonts w:ascii="微软雅黑" w:hAnsi="微软雅黑" w:eastAsia="微软雅黑"/>
                <w:b/>
                <w:i w:val="0"/>
                <w:sz w:val="18"/>
              </w:rPr>
              <w:t>9</w:t>
            </w:r>
          </w:p>
        </w:tc>
        <w:tc>
          <w:tcPr>
            <w:tcW w:type="dxa" w:w="1063"/>
            <w:shd w:fill="ECF0F1" w:val="clear"/>
          </w:tcPr>
          <w:p>
            <w:r>
              <w:t>24-hour urinary protein (g/d)</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1.5</w:t>
            </w:r>
          </w:p>
        </w:tc>
        <w:tc>
          <w:tcPr>
            <w:tcW w:type="dxa" w:w="1063"/>
            <w:shd w:fill="ECF0F1" w:val="clear"/>
          </w:tcPr>
          <w:p>
            <w:r>
              <w:t>Serum albumin (g/L)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23</w:t>
            </w:r>
          </w:p>
        </w:tc>
        <w:tc>
          <w:tcPr>
            <w:tcW w:type="dxa" w:w="1063"/>
            <w:shd w:fill="ECF0F1" w:val="clear"/>
          </w:tcPr>
          <w:p>
            <w:r>
              <w:t>Diagnosis</w:t>
            </w:r>
            <w:r>
              <w:rPr>
                <w:rFonts w:ascii="微软雅黑" w:hAnsi="微软雅黑" w:eastAsia="微软雅黑"/>
                <w:b/>
                <w:i w:val="0"/>
                <w:color w:val="7F8C8D"/>
                <w:sz w:val="16"/>
              </w:rPr>
            </w:r>
          </w:p>
        </w:tc>
        <w:tc>
          <w:tcPr>
            <w:tcW w:type="dxa" w:w="1063"/>
          </w:tcPr>
          <w:p>
            <w:r>
              <w:t>ANCA-associated vasculitis (MPO-ANCA positive, renal involvement)</w:t>
            </w:r>
            <w:r>
              <w:rPr>
                <w:rFonts w:ascii="微软雅黑" w:hAnsi="微软雅黑" w:eastAsia="微软雅黑"/>
                <w:b/>
                <w:i w:val="0"/>
                <w:sz w:val="18"/>
              </w:rPr>
            </w: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Based on a comprehensive clinical pharmacy assessment, please complete the following comprehensive assessment questions in conjunction with this hospital’s drug inventory.</w:t>
        <w:br/>
        <w:br/>
        <w:t>Requirements: Any recommended medication must use the full drug name and specification as listed in the inventory. If an out-of-inventory medication is needed, clearly indicate “This medication is not listed in this hospital’s inventory and requires external purchase/temporary compounding,” and provide an in-inventory alternative方案 or an acquisition process.</w:t>
      </w:r>
    </w:p>
    <w:p/>
    <w:p>
      <w:pPr>
        <w:pStyle w:val="Heading3"/>
      </w:pPr>
      <w:r>
        <w:rPr>
          <w:color w:val="2980B9"/>
        </w:rPr>
        <w:t>Q1  Development of an induction-of-remission regimen for ANCA-associated vasculitis (renal involvement)</w:t>
      </w:r>
    </w:p>
    <w:p>
      <w:pPr>
        <w:spacing w:before="80" w:after="120" w:line="408" w:lineRule="auto"/>
        <w:ind w:left="227" w:right="227"/>
        <w:shd w:fill="EBF5FB" w:val="clear"/>
      </w:pPr>
      <w:r>
        <w:rPr>
          <w:rFonts w:ascii="微软雅黑" w:hAnsi="微软雅黑" w:eastAsia="微软雅黑"/>
          <w:b w:val="0"/>
          <w:i w:val="0"/>
          <w:sz w:val="22"/>
        </w:rPr>
        <w:t>A 42-year-old woman with MPO-ANCA–positive vasculitis with significant renal involvement: Scr 487 μmol/L, eGFR 9 mL/min/1.73 m², 24-hour urine protein 1.5 g/day, albumin 23 g/L. The attending physician plans to initiate induction remission therapy as soon as possible and hopes to balance renal function protection and infection risk control. As a clinical pharmacist, please provide comprehensive pharmaceutical recommendations for the patient’s current inpatient medication regimen.</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Treatment Plan Adjustment During Induction Therapy When Hyperkalemia and Volume Overload Occur</w:t>
      </w:r>
    </w:p>
    <w:p>
      <w:pPr>
        <w:spacing w:before="80" w:after="120" w:line="408" w:lineRule="auto"/>
        <w:ind w:left="227" w:right="227"/>
        <w:shd w:fill="EBF5FB" w:val="clear"/>
      </w:pPr>
      <w:r>
        <w:rPr>
          <w:rFonts w:ascii="微软雅黑" w:hAnsi="微软雅黑" w:eastAsia="微软雅黑"/>
          <w:b w:val="0"/>
          <w:i w:val="0"/>
          <w:sz w:val="22"/>
        </w:rPr>
        <w:t>On day 5 after starting induction therapy, the patient developed fatigue and nausea. The ECG showed tall, peaked T waves. Laboratory tests: K 6.2 mmol/L, HCO3- 16 mmol/L, Scr 520 μmol/L, urine output 800 mL/24 h. The current orders include a RAAS-related medication for proteinuria/blood pressure management and a potassium-sparing diuretic. The attending physician asks you, as the clinical pharmacist, to provide recommendations on subsequent medication management for this patient.</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Re-evaluation of the immunosuppressive regimen in the context of infection risk and bone marrow suppression risk in the late post-induction period</w:t>
      </w:r>
    </w:p>
    <w:p>
      <w:pPr>
        <w:spacing w:before="80" w:after="120" w:line="408" w:lineRule="auto"/>
        <w:ind w:left="227" w:right="227"/>
        <w:shd w:fill="EBF5FB" w:val="clear"/>
      </w:pPr>
      <w:r>
        <w:rPr>
          <w:rFonts w:ascii="微软雅黑" w:hAnsi="微软雅黑" w:eastAsia="微软雅黑"/>
          <w:b w:val="0"/>
          <w:i w:val="0"/>
          <w:sz w:val="22"/>
        </w:rPr>
        <w:t>In week 3 of induction therapy, the patient has a temperature of 38.6°C, cough and shortness of breath, with decreased oxygen saturation. Laboratory results show: WBC 2.1×10^9/L, neutrophils 0.9×10^9/L, and elevated CRP. The attending physician is concerned about immunosuppression-related infection and bone marrow suppression, plans to adjust subsequent treatment, and asks whether prophylactic medications should be added. Please provide pharmacotherapy recommendations as a clinical pharmacist.</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implementation documentation. Please generate directly actionable documentation based on the clinical decision-making from Task 1.</w:t>
        <w:br/>
        <w:br/>
        <w:t>Requirements: Any medications mentioned in the documentation must use the full names and specifications as listed in inventory. Any medications not in inventory must be labeled in the document as “requires external purchase/temporary compounding,” and the acquisition process must be specified.</w:t>
      </w:r>
    </w:p>
    <w:p>
      <w:pPr>
        <w:spacing w:before="120" w:after="80" w:line="336" w:lineRule="auto"/>
      </w:pPr>
      <w:r>
        <w:rPr>
          <w:rFonts w:ascii="微软雅黑" w:hAnsi="微软雅黑" w:eastAsia="微软雅黑"/>
          <w:b/>
          <w:i w:val="0"/>
          <w:color w:val="7D6608"/>
          <w:sz w:val="20"/>
        </w:rPr>
        <w:t>Document Type: Immunosuppressive Regimen Monitoring Matrix</w:t>
      </w:r>
    </w:p>
    <w:p>
      <w:pPr>
        <w:spacing w:before="80" w:after="120" w:line="408" w:lineRule="auto"/>
        <w:ind w:left="227" w:right="227"/>
        <w:shd w:fill="FEF9E7" w:val="clear"/>
      </w:pPr>
      <w:r>
        <w:rPr>
          <w:rFonts w:ascii="微软雅黑" w:hAnsi="微软雅黑" w:eastAsia="微软雅黑"/>
          <w:b w:val="0"/>
          <w:i w:val="0"/>
          <w:sz w:val="22"/>
        </w:rPr>
        <w:t>Please, based on the established decision for induction remission therapy in this patient with ANCA-associated vasculitis (renal involvement), and considering the potential scenarios of fatal hyperkalemia during the induction phase as well as later infection/neutropenia, draft an “Immunosuppressive Therapy—Safety Monitoring and Management” document for the inpatient team that can be directly used for implementation and handoff.</w:t>
      </w:r>
    </w:p>
    <w:p>
      <w:pPr>
        <w:spacing w:before="80" w:after="40" w:line="336" w:lineRule="auto"/>
      </w:pPr>
      <w:r>
        <w:rPr>
          <w:rFonts w:ascii="微软雅黑" w:hAnsi="微软雅黑" w:eastAsia="微软雅黑"/>
          <w:b w:val="0"/>
          <w:i w:val="0"/>
          <w:color w:val="AAAAAA"/>
          <w:sz w:val="16"/>
        </w:rPr>
        <w:t>Answer Section (Task 2 Documentation: Please complete the form in full.)</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