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39C12"/>
          <w:sz w:val="32"/>
        </w:rPr>
        <w:t>Nephrology — Kidney Transplant Immunosuppression</w:t>
      </w:r>
    </w:p>
    <w:p>
      <w:pPr>
        <w:spacing w:before="0" w:after="40" w:line="336" w:lineRule="auto"/>
      </w:pPr>
      <w:r>
        <w:rPr>
          <w:rFonts w:ascii="微软雅黑" w:hAnsi="微软雅黑" w:eastAsia="微软雅黑"/>
          <w:b w:val="0"/>
          <w:i w:val="0"/>
          <w:color w:val="999999"/>
          <w:sz w:val="18"/>
        </w:rPr>
        <w:t>Scenario ID: nephro_014 · Task 1 × 3 questions + Task 2 × 1 question · Total: 16 points</w:t>
      </w:r>
    </w:p>
    <w:p>
      <w:pPr>
        <w:spacing w:before="0" w:after="120" w:line="336" w:lineRule="auto"/>
      </w:pPr>
      <w:r>
        <w:rPr>
          <w:rFonts w:ascii="微软雅黑" w:hAnsi="微软雅黑" w:eastAsia="微软雅黑"/>
          <w:b/>
          <w:i w:val="0"/>
          <w:color w:val="E74C3C"/>
          <w:sz w:val="18"/>
        </w:rPr>
        <w:t>Please provide a complete answer in the [Answer Area] for each question.</w:t>
      </w:r>
    </w:p>
    <w:p>
      <w:pPr>
        <w:spacing w:before="80" w:after="120" w:line="336" w:lineRule="auto"/>
      </w:pPr>
      <w:r>
        <w:rPr>
          <w:rFonts w:ascii="微软雅黑" w:hAnsi="微软雅黑" w:eastAsia="微软雅黑"/>
          <w:b/>
          <w:i w:val="0"/>
          <w:color w:val="16A085"/>
          <w:sz w:val="20"/>
        </w:rPr>
        <w:t>Patient Basic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66</w:t>
            </w:r>
          </w:p>
        </w:tc>
        <w:tc>
          <w:tcPr>
            <w:tcW w:type="dxa" w:w="1063"/>
            <w:shd w:fill="ECF0F1" w:val="clear"/>
          </w:tcPr>
          <w:p>
            <w:r>
              <w:t>Sex</w:t>
            </w:r>
            <w:r>
              <w:rPr>
                <w:rFonts w:ascii="微软雅黑" w:hAnsi="微软雅黑" w:eastAsia="微软雅黑"/>
                <w:b/>
                <w:i w:val="0"/>
                <w:color w:val="7F8C8D"/>
                <w:sz w:val="16"/>
              </w:rPr>
            </w:r>
          </w:p>
        </w:tc>
        <w:tc>
          <w:tcPr>
            <w:tcW w:type="dxa" w:w="1063"/>
          </w:tcPr>
          <w:p>
            <w:r>
              <w:t>Male</w:t>
            </w:r>
            <w:r>
              <w:rPr>
                <w:rFonts w:ascii="微软雅黑" w:hAnsi="微软雅黑" w:eastAsia="微软雅黑"/>
                <w:b/>
                <w:i w:val="0"/>
                <w:sz w:val="18"/>
              </w:rPr>
            </w:r>
          </w:p>
        </w:tc>
        <w:tc>
          <w:tcPr>
            <w:tcW w:type="dxa" w:w="1063"/>
            <w:shd w:fill="ECF0F1" w:val="clear"/>
          </w:tcPr>
          <w:p>
            <w:r>
              <w:t>Body 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88</w:t>
            </w:r>
          </w:p>
        </w:tc>
        <w:tc>
          <w:tcPr>
            <w:tcW w:type="dxa" w:w="1063"/>
            <w:shd w:fill="ECF0F1" w:val="clear"/>
          </w:tcPr>
          <w:p>
            <w:r>
              <w:t>Creatinine (μmol/L)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597</w:t>
            </w:r>
          </w:p>
        </w:tc>
      </w:tr>
      <w:tr>
        <w:tc>
          <w:tcPr>
            <w:tcW w:type="dxa" w:w="1063"/>
            <w:shd w:fill="ECF0F1" w:val="clear"/>
          </w:tcPr>
          <w:p>
            <w:r/>
            <w:r>
              <w:rPr>
                <w:rFonts w:ascii="微软雅黑" w:hAnsi="微软雅黑" w:eastAsia="微软雅黑"/>
                <w:b/>
                <w:i w:val="0"/>
                <w:color w:val="7F8C8D"/>
                <w:sz w:val="16"/>
              </w:rPr>
              <w:t>eGFR(mL/min/1.73m²)</w:t>
            </w:r>
          </w:p>
        </w:tc>
        <w:tc>
          <w:tcPr>
            <w:tcW w:type="dxa" w:w="1063"/>
          </w:tcPr>
          <w:p>
            <w:r/>
            <w:r>
              <w:rPr>
                <w:rFonts w:ascii="微软雅黑" w:hAnsi="微软雅黑" w:eastAsia="微软雅黑"/>
                <w:b/>
                <w:i w:val="0"/>
                <w:sz w:val="18"/>
              </w:rPr>
              <w:t>9</w:t>
            </w:r>
          </w:p>
        </w:tc>
        <w:tc>
          <w:tcPr>
            <w:tcW w:type="dxa" w:w="1063"/>
            <w:shd w:fill="ECF0F1" w:val="clear"/>
          </w:tcPr>
          <w:p>
            <w:r>
              <w:t>FK506 Trough Concentration (ng/mL)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14.4</w:t>
            </w:r>
          </w:p>
        </w:tc>
        <w:tc>
          <w:tcPr>
            <w:tcW w:type="dxa" w:w="1063"/>
            <w:shd w:fill="ECF0F1" w:val="clear"/>
          </w:tcPr>
          <w:p>
            <w:r>
              <w:t>Months post-transplantation</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2</w:t>
            </w:r>
          </w:p>
        </w:tc>
        <w:tc>
          <w:tcPr>
            <w:tcW w:type="dxa" w:w="1063"/>
            <w:shd w:fill="ECF0F1" w:val="clear"/>
          </w:tcPr>
          <w:p>
            <w:r>
              <w:t>Diagnosis</w:t>
            </w:r>
            <w:r>
              <w:rPr>
                <w:rFonts w:ascii="微软雅黑" w:hAnsi="微软雅黑" w:eastAsia="微软雅黑"/>
                <w:b/>
                <w:i w:val="0"/>
                <w:color w:val="7F8C8D"/>
                <w:sz w:val="16"/>
              </w:rPr>
            </w:r>
          </w:p>
        </w:tc>
        <w:tc>
          <w:tcPr>
            <w:tcW w:type="dxa" w:w="1063"/>
          </w:tcPr>
          <w:p>
            <w:r>
              <w:t>Two months after kidney transplantation, tacrolimus + MMF + steroids; FK506 = 14.4 ng/mL.</w:t>
            </w:r>
            <w:r>
              <w:rPr>
                <w:rFonts w:ascii="微软雅黑" w:hAnsi="微软雅黑" w:eastAsia="微软雅黑"/>
                <w:b/>
                <w:i w:val="0"/>
                <w:sz w:val="18"/>
              </w:rPr>
            </w: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and in conjunction with this hospital’s medication inventory, complete the following comprehensive assessment questions.</w:t>
        <w:br/>
        <w:br/>
        <w:t>Requirements: Recommended medications must use the full drug name and specification available in the inventory; if a non-inventory medication must be used, clearly indicate “This medication is not listed in this hospital’s inventory and must be purchased externally/temporarily prepared,” and provide an in-inventory alternative plan or the procurement process.</w:t>
      </w:r>
    </w:p>
    <w:p/>
    <w:p>
      <w:pPr>
        <w:pStyle w:val="Heading3"/>
      </w:pPr>
      <w:r>
        <w:rPr>
          <w:color w:val="2980B9"/>
        </w:rPr>
        <w:t>Q1  Individualization of early post-transplant immunosuppressive regimens and treatment drug monitoring (TDM)-driven dose adjustment</w:t>
      </w:r>
    </w:p>
    <w:p>
      <w:pPr>
        <w:spacing w:before="80" w:after="120" w:line="408" w:lineRule="auto"/>
        <w:ind w:left="227" w:right="227"/>
        <w:shd w:fill="EBF5FB" w:val="clear"/>
      </w:pPr>
      <w:r>
        <w:rPr>
          <w:rFonts w:ascii="微软雅黑" w:hAnsi="微软雅黑" w:eastAsia="微软雅黑"/>
          <w:b w:val="0"/>
          <w:i w:val="0"/>
          <w:sz w:val="22"/>
        </w:rPr>
        <w:t>A 66-year-old male, 2 months after kidney transplantation, on maintenance therapy with tacrolimus + mycophenolate mofetil + steroids. Current creatinine is 597 μmol/L, eGFR 9 mL/min/1.73 m², and tacrolimus trough concentration is 14.4 ng/mL. The attending physician asks you, as a clinical pharmacist, to provide comprehensive recommendations on adjustment of the current immunosuppressive regimen and short-term medication management.</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Pharmacotherapeutic management of hyperkalemia and metabolic acidosis occurring during treatment (in the context of severe renal insufficiency/poor allograft renal function)</w:t>
      </w:r>
    </w:p>
    <w:p>
      <w:pPr>
        <w:spacing w:before="80" w:after="120" w:line="408" w:lineRule="auto"/>
        <w:ind w:left="227" w:right="227"/>
        <w:shd w:fill="EBF5FB" w:val="clear"/>
      </w:pPr>
      <w:r>
        <w:rPr>
          <w:rFonts w:ascii="微软雅黑" w:hAnsi="微软雅黑" w:eastAsia="微软雅黑"/>
          <w:b w:val="0"/>
          <w:i w:val="0"/>
          <w:sz w:val="22"/>
        </w:rPr>
        <w:t>On the second day after adjustment of the immunosuppressive regimen, the patient developed fatigue, and the ECG showed tall, peaked T waves. An urgent serum potassium test showed 6.3 mmol/L, and the CO₂ combining power was 12 mmol/L. The attending physician requests that you, as a clinical pharmacist, provide recommendations on medication management for the current situation and on subsequent follow-up management.</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Management of drug–drug interactions between secondary prevention medications for dyslipidemia and immunosuppressive therapy in transplant recipients</w:t>
      </w:r>
    </w:p>
    <w:p>
      <w:pPr>
        <w:spacing w:before="80" w:after="120" w:line="408" w:lineRule="auto"/>
        <w:ind w:left="227" w:right="227"/>
        <w:shd w:fill="EBF5FB" w:val="clear"/>
      </w:pPr>
      <w:r>
        <w:rPr>
          <w:rFonts w:ascii="微软雅黑" w:hAnsi="微软雅黑" w:eastAsia="微软雅黑"/>
          <w:b w:val="0"/>
          <w:i w:val="0"/>
          <w:sz w:val="22"/>
        </w:rPr>
        <w:t>After the patient’s condition stabilized, repeat testing showed: LDL-C 3.4 mmol/L, with normal liver enzymes. The attending physician is considering initiating lipid-lowering therapy to reduce post-transplant cardiovascular risk. As a clinical pharmacist, please provide medication recommendations based on the patient’s current post-transplant status, renal function, and prior immunosuppressive therapy.</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Execution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Based on the clinical decision-making in Task 1, produce documentation that can be directly implemented.</w:t>
        <w:br/>
        <w:br/>
        <w:t>Requirements: Any medications mentioned in the documentation must use the full inventory name and specification. For medications not in inventory, indicate “requires external purchase/temporary compounding” in the documentation and describe the procurement process.</w:t>
      </w:r>
    </w:p>
    <w:p>
      <w:pPr>
        <w:spacing w:before="120" w:after="80" w:line="336" w:lineRule="auto"/>
      </w:pPr>
      <w:r>
        <w:rPr>
          <w:rFonts w:ascii="微软雅黑" w:hAnsi="微软雅黑" w:eastAsia="微软雅黑"/>
          <w:b/>
          <w:i w:val="0"/>
          <w:color w:val="7D6608"/>
          <w:sz w:val="20"/>
        </w:rPr>
        <w:t>Document Type: Immunosuppression Regimen Monitoring Matrix</w:t>
      </w:r>
    </w:p>
    <w:p>
      <w:pPr>
        <w:spacing w:before="80" w:after="120" w:line="408" w:lineRule="auto"/>
        <w:ind w:left="227" w:right="227"/>
        <w:shd w:fill="FEF9E7" w:val="clear"/>
      </w:pPr>
      <w:r>
        <w:rPr>
          <w:rFonts w:ascii="微软雅黑" w:hAnsi="微软雅黑" w:eastAsia="微软雅黑"/>
          <w:b w:val="0"/>
          <w:i w:val="0"/>
          <w:sz w:val="22"/>
        </w:rPr>
        <w:t>Please prepare a “Clinical Execution and Monitoring Document for Immunosuppression and Related Complication Medications” for this hospitalized patient who is 2 months post–kidney transplant, to guide physicians and the nursing team over the next 72 hours in the implementation and documentation of immunosuppressant dose adjustments, the linkage of emergency management for life-threatening hyperkalemia, and the initiation of lipid-lowering therapy.</w:t>
      </w:r>
    </w:p>
    <w:p>
      <w:pPr>
        <w:spacing w:before="80" w:after="40" w:line="336" w:lineRule="auto"/>
      </w:pPr>
      <w:r>
        <w:rPr>
          <w:rFonts w:ascii="微软雅黑" w:hAnsi="微软雅黑" w:eastAsia="微软雅黑"/>
          <w:b w:val="0"/>
          <w:i w:val="0"/>
          <w:color w:val="AAAAAA"/>
          <w:sz w:val="16"/>
        </w:rPr>
        <w:t>Answer Section (Task 2 Document — please complete the form in full)</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