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980B9"/>
          <w:sz w:val="32"/>
        </w:rPr>
        <w:t>Neurology — Antithrombotic Therapy for Stroke</w:t>
      </w:r>
    </w:p>
    <w:p>
      <w:pPr>
        <w:spacing w:before="0" w:after="40" w:line="336" w:lineRule="auto"/>
      </w:pPr>
      <w:r>
        <w:rPr>
          <w:rFonts w:ascii="微软雅黑" w:hAnsi="微软雅黑" w:eastAsia="微软雅黑"/>
          <w:b w:val="0"/>
          <w:i w:val="0"/>
          <w:color w:val="999999"/>
          <w:sz w:val="18"/>
        </w:rPr>
        <w:t>Scenario ID: neuro_009 · Task 1: 3 questions + Task 2: 1 question · Total: 16 points</w:t>
      </w:r>
    </w:p>
    <w:p>
      <w:pPr>
        <w:spacing w:before="0" w:after="120" w:line="336" w:lineRule="auto"/>
      </w:pPr>
      <w:r>
        <w:rPr>
          <w:rFonts w:ascii="微软雅黑" w:hAnsi="微软雅黑" w:eastAsia="微软雅黑"/>
          <w:b/>
          <w:i w:val="0"/>
          <w:color w:val="E74C3C"/>
          <w:sz w:val="18"/>
        </w:rPr>
        <w:t>Please provide complete answers in the [Answer Area] for each question.</w:t>
      </w:r>
    </w:p>
    <w:p>
      <w:pPr>
        <w:spacing w:before="80" w:after="120" w:line="336" w:lineRule="auto"/>
      </w:pPr>
      <w:r>
        <w:rPr>
          <w:rFonts w:ascii="微软雅黑" w:hAnsi="微软雅黑" w:eastAsia="微软雅黑"/>
          <w:b/>
          <w:i w:val="0"/>
          <w:color w:val="16A085"/>
          <w:sz w:val="20"/>
        </w:rPr>
        <w:t>Basic patient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63"/>
        <w:gridCol w:w="1063"/>
        <w:gridCol w:w="1063"/>
        <w:gridCol w:w="1063"/>
        <w:gridCol w:w="1063"/>
        <w:gridCol w:w="1063"/>
        <w:gridCol w:w="1063"/>
        <w:gridCol w:w="1063"/>
      </w:tblGrid>
      <w:tr>
        <w:tc>
          <w:tcPr>
            <w:tcW w:type="dxa" w:w="1063"/>
            <w:shd w:fill="ECF0F1" w:val="clear"/>
          </w:tcPr>
          <w:p>
            <w:r>
              <w:t>Age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71</w:t>
            </w:r>
          </w:p>
        </w:tc>
        <w:tc>
          <w:tcPr>
            <w:tcW w:type="dxa" w:w="1063"/>
            <w:shd w:fill="ECF0F1" w:val="clear"/>
          </w:tcPr>
          <w:p>
            <w:r>
              <w:t>Sex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Female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  <w:shd w:fill="ECF0F1" w:val="clear"/>
          </w:tcPr>
          <w:p>
            <w:r>
              <w:t>Body weight (kg)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53</w:t>
            </w:r>
          </w:p>
        </w:tc>
        <w:tc>
          <w:tcPr>
            <w:tcW w:type="dxa" w:w="1063"/>
            <w:shd w:fill="ECF0F1" w:val="clear"/>
          </w:tcPr>
          <w:p>
            <w:r>
              <w:t>Creatinine (μmol/L)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108</w:t>
            </w:r>
          </w:p>
        </w:tc>
      </w:tr>
      <w:tr>
        <w:tc>
          <w:tcPr>
            <w:tcW w:type="dxa" w:w="1063"/>
            <w:shd w:fill="ECF0F1" w:val="clear"/>
          </w:tcPr>
          <w:p>
            <w:r/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  <w:t>eGFR(mL/min/1.73m²)</w:t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46</w:t>
            </w:r>
          </w:p>
        </w:tc>
        <w:tc>
          <w:tcPr>
            <w:tcW w:type="dxa" w:w="1063"/>
            <w:shd w:fill="ECF0F1" w:val="clear"/>
          </w:tcPr>
          <w:p>
            <w:r>
              <w:t>NIH Stroke Scale (NIHSS) score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</w:t>
            </w:r>
          </w:p>
        </w:tc>
        <w:tc>
          <w:tcPr>
            <w:tcW w:type="dxa" w:w="1063"/>
            <w:shd w:fill="ECF0F1" w:val="clear"/>
          </w:tcPr>
          <w:p>
            <w:r>
              <w:t>Time of onset (h)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/>
            <w:r>
              <w:rPr>
                <w:rFonts w:ascii="微软雅黑" w:hAnsi="微软雅黑" w:eastAsia="微软雅黑"/>
                <w:b/>
                <w:i w:val="0"/>
                <w:sz w:val="18"/>
              </w:rPr>
              <w:t>3.0</w:t>
            </w:r>
          </w:p>
        </w:tc>
        <w:tc>
          <w:tcPr>
            <w:tcW w:type="dxa" w:w="1063"/>
            <w:shd w:fill="ECF0F1" w:val="clear"/>
          </w:tcPr>
          <w:p>
            <w:r>
              <w:t>Atrial fibrillation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No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</w:tr>
      <w:tr>
        <w:tc>
          <w:tcPr>
            <w:tcW w:type="dxa" w:w="1063"/>
            <w:shd w:fill="ECF0F1" w:val="clear"/>
          </w:tcPr>
          <w:p>
            <w:r>
              <w:t>Diagnosis</w:t>
            </w:r>
            <w:r>
              <w:rPr>
                <w:rFonts w:ascii="微软雅黑" w:hAnsi="微软雅黑" w:eastAsia="微软雅黑"/>
                <w:b/>
                <w:i w:val="0"/>
                <w:color w:val="7F8C8D"/>
                <w:sz w:val="16"/>
              </w:rPr>
            </w:r>
          </w:p>
        </w:tc>
        <w:tc>
          <w:tcPr>
            <w:tcW w:type="dxa" w:w="1063"/>
          </w:tcPr>
          <w:p>
            <w:r>
              <w:t>Acute ischemic stroke (NIHSS score 3, symptom onset 3.0 h, large-artery atherosclerosis subtype)</w:t>
            </w:r>
            <w:r>
              <w:rPr>
                <w:rFonts w:ascii="微软雅黑" w:hAnsi="微软雅黑" w:eastAsia="微软雅黑"/>
                <w:b/>
                <w:i w:val="0"/>
                <w:sz w:val="18"/>
              </w:rPr>
            </w:r>
          </w:p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  <w:tc>
          <w:tcPr>
            <w:tcW w:type="dxa" w:w="1063"/>
          </w:tcPr>
          <w:p/>
        </w:tc>
      </w:tr>
    </w:tbl>
    <w:p/>
    <w:p>
      <w:pPr>
        <w:pStyle w:val="Heading2"/>
      </w:pPr>
      <w:r>
        <w:rPr>
          <w:color w:val="2980B9"/>
        </w:rPr>
        <w:t>Task 1: Comprehensive Clinical Pharmacy Assessment (12 points)</w:t>
      </w:r>
    </w:p>
    <w:p>
      <w:pPr>
        <w:spacing w:before="120" w:after="120" w:line="360" w:lineRule="auto"/>
        <w:ind w:left="170" w:right="170"/>
        <w:shd w:fill="EAF2FF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1: Based on a comprehensive clinical pharmacy assessment and in conjunction with this hospital’s medication inventory, complete the following comprehensive assessment questions.</w:t>
        <w:br/>
        <w:br/>
        <w:t>Requirements: Any recommended medications must use the complete drug name and specification as listed in the inventory; if an off-inventory medication is required, clearly indicate “This drug is not listed in this hospital’s inventory and must be purchased externally/compounded temporarily,” and provide an in-inventory alternative or the process for procurement.</w:t>
      </w:r>
    </w:p>
    <w:p/>
    <w:p>
      <w:pPr>
        <w:pStyle w:val="Heading3"/>
      </w:pPr>
      <w:r>
        <w:rPr>
          <w:color w:val="2980B9"/>
        </w:rPr>
        <w:t>Q1  Coordination between acute-phase reperfusion therapy and peri-thrombolysis medication use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A 71-year-old woman with acute ischemic stroke (large-artery atherosclerosis subtype), NIHSS score 3, approximately 3.0 hours since symptom onset, and eGFR 46 mL/min/1.73 m². The attending physician plans to evaluate reperfusion therapy and initiate subsequent secondary prevention as soon as possible. As a clinical pharmacist, please provide recommendations on the overall acute-phase medication regimen.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8E44AD"/>
        </w:rPr>
        <w:t>Q2  Medication Safety and Adjustment in the Implementation of Antiplatelet Regimens for Secondary Prevention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The patient did not receive intravenous thrombolysis and began oral antithrombotic therapy after admission. On day 2 of treatment, gingival bleeding and increased subcutaneous ecchymosis occurred. Hemoglobin decreased from 118 g/L on admission to 102 g/L; platelet count was 165×10^9/L. Blood pressure was stable, with no neurological deterioration. The attending physician asks you, as a clinical pharmacist, to provide recommendations for adjusting the current antithrombotic-related medications.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▸ Response Section (Task 1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3"/>
      </w:pPr>
      <w:r>
        <w:rPr>
          <w:color w:val="27AE60"/>
        </w:rPr>
        <w:t>Q3  Acute Management of Stroke-Related Seizures and Individualized Dosing Based on Renal Function</w:t>
      </w:r>
    </w:p>
    <w:p>
      <w:pPr>
        <w:spacing w:before="80" w:after="120" w:line="408" w:lineRule="auto"/>
        <w:ind w:left="227" w:right="227"/>
        <w:shd w:fill="EBF5FB" w:val="clear"/>
      </w:pPr>
      <w:r>
        <w:rPr>
          <w:rFonts w:ascii="微软雅黑" w:hAnsi="微软雅黑" w:eastAsia="微软雅黑"/>
          <w:b w:val="0"/>
          <w:i w:val="0"/>
          <w:sz w:val="22"/>
        </w:rPr>
        <w:t>On hospital day 4, the patient suddenly developed a single episode of right upper limb convulsions with altered consciousness lasting about 1 minute, then regained consciousness. Bedside blood glucose was normal, and repeat head CT showed no hemorrhagic transformation. The attending physician asks you, as a clinical pharmacist, to provide recommendations on subsequent medication management.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Answer Section (Task 1: Comprehensive Assessment)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6400" w:hRule="exact"/>
        </w:trPr>
        <w:tc>
          <w:tcPr>
            <w:tcW w:type="dxa" w:w="8504"/>
            <w:shd w:fill="FAFAFA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p/>
    <w:p>
      <w:pPr>
        <w:pStyle w:val="Heading2"/>
      </w:pPr>
      <w:r>
        <w:rPr>
          <w:color w:val="D4AC0D"/>
        </w:rPr>
        <w:t>Task 2: Clinical Implementation Documentation (4 points)</w:t>
      </w:r>
    </w:p>
    <w:p>
      <w:pPr>
        <w:spacing w:before="120" w:after="120" w:line="360" w:lineRule="auto"/>
        <w:ind w:left="170" w:right="170"/>
        <w:shd w:fill="FEF9E7" w:val="clear"/>
      </w:pPr>
      <w:r>
        <w:rPr>
          <w:rFonts w:ascii="微软雅黑" w:hAnsi="微软雅黑" w:eastAsia="微软雅黑"/>
          <w:b w:val="0"/>
          <w:i w:val="0"/>
          <w:color w:val="1A4A6B"/>
          <w:sz w:val="20"/>
        </w:rPr>
        <w:t>Task 2: Clinical implementation documentation. Please, based on the clinical decision-making in Task 1, produce directly actionable documentation.</w:t>
        <w:br/>
        <w:br/>
        <w:t>Requirements: Any medications mentioned in the document must use the full in-stock name and specification; for any medications not in stock, indicate “requires external purchase/temporary compounding” in the document and explain the procurement process.</w:t>
      </w:r>
    </w:p>
    <w:p>
      <w:pPr>
        <w:spacing w:before="120" w:after="80" w:line="336" w:lineRule="auto"/>
      </w:pPr>
      <w:r>
        <w:rPr>
          <w:rFonts w:ascii="微软雅黑" w:hAnsi="微软雅黑" w:eastAsia="微软雅黑"/>
          <w:b/>
          <w:i w:val="0"/>
          <w:color w:val="7D6608"/>
          <w:sz w:val="20"/>
        </w:rPr>
        <w:t>Document Type: Dose Adjustment Decision Table</w:t>
      </w:r>
    </w:p>
    <w:p>
      <w:pPr>
        <w:spacing w:before="80" w:after="120" w:line="408" w:lineRule="auto"/>
        <w:ind w:left="227" w:right="227"/>
        <w:shd w:fill="FEF9E7" w:val="clear"/>
      </w:pPr>
      <w:r>
        <w:rPr>
          <w:rFonts w:ascii="微软雅黑" w:hAnsi="微软雅黑" w:eastAsia="微软雅黑"/>
          <w:b w:val="0"/>
          <w:i w:val="0"/>
          <w:sz w:val="22"/>
        </w:rPr>
        <w:t>Please, based on this patient’s current medication-related risk signals during acute ischemic stroke management and secondary prevention (thrombolysis, antiplatelet-associated bleeding signals, post-stroke seizures, and declining renal function), draft a “Medication Dosing and Transition/Bridging Adjustment Decision Document” for the inpatient team that can be directly used for order verification and execution, to guide when to administer, what dose to use, when to stop/change therapy, and the checks and reassessments that must be completed concurrently.</w:t>
      </w:r>
    </w:p>
    <w:p>
      <w:pPr>
        <w:spacing w:before="80" w:after="40" w:line="336" w:lineRule="auto"/>
      </w:pPr>
      <w:r>
        <w:rPr>
          <w:rFonts w:ascii="微软雅黑" w:hAnsi="微软雅黑" w:eastAsia="微软雅黑"/>
          <w:b w:val="0"/>
          <w:i w:val="0"/>
          <w:color w:val="AAAAAA"/>
          <w:sz w:val="16"/>
        </w:rPr>
        <w:t>Response Section (Task 2 Written Document, please complete the entire form)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504"/>
      </w:tblGrid>
      <w:tr>
        <w:trPr>
          <w:trHeight w:val="17600" w:hRule="exact"/>
        </w:trPr>
        <w:tc>
          <w:tcPr>
            <w:tcW w:type="dxa" w:w="8504"/>
            <w:shd w:fill="FFFEF5" w:val="clear"/>
          </w:tcPr>
          <w:p>
            <w:pPr>
              <w:spacing w:before="80"/>
            </w:pPr>
            <w:r/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微软雅黑" w:hAnsi="微软雅黑" w:eastAsia="微软雅黑"/>
        <w:b w:val="0"/>
        <w:i w:val="0"/>
        <w:color w:val="999999"/>
        <w:sz w:val="16"/>
      </w:rPr>
      <w:t>Cross-Specialty Probe v2 — 临床药学综合评估试卷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