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39C12"/>
          <w:sz w:val="32"/>
        </w:rPr>
        <w:t>Nephrology — CKD Drug Dose Adjustment</w:t>
      </w:r>
    </w:p>
    <w:p>
      <w:pPr>
        <w:spacing w:before="0" w:after="40" w:line="336" w:lineRule="auto"/>
      </w:pPr>
      <w:r>
        <w:rPr>
          <w:rFonts w:ascii="微软雅黑" w:hAnsi="微软雅黑" w:eastAsia="微软雅黑"/>
          <w:b w:val="0"/>
          <w:i w:val="0"/>
          <w:color w:val="999999"/>
          <w:sz w:val="18"/>
        </w:rPr>
        <w:t>Scenario ID: nephro_016 · Task 1: 3 questions + Task 2: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54</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69</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293</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21</w:t>
            </w:r>
          </w:p>
        </w:tc>
        <w:tc>
          <w:tcPr>
            <w:tcW w:type="dxa" w:w="1063"/>
            <w:shd w:fill="ECF0F1" w:val="clear"/>
          </w:tcPr>
          <w:p>
            <w:r>
              <w:t>Diagnosis</w:t>
            </w:r>
            <w:r>
              <w:rPr>
                <w:rFonts w:ascii="微软雅黑" w:hAnsi="微软雅黑" w:eastAsia="微软雅黑"/>
                <w:b/>
                <w:i w:val="0"/>
                <w:color w:val="7F8C8D"/>
                <w:sz w:val="16"/>
              </w:rPr>
            </w:r>
          </w:p>
        </w:tc>
        <w:tc>
          <w:tcPr>
            <w:tcW w:type="dxa" w:w="1063"/>
          </w:tcPr>
          <w:p>
            <w:r>
              <w:t>Chronic kidney disease (CKD G4, eGFR 21 mL/min) with concomitant medication dose adjustment</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drug inventory.</w:t>
        <w:br/>
        <w:br/>
        <w:t>Requirements: Any recommended medication must use the full medication name and specification available in the inventory. If a medication outside the inventory is needed, it must be clearly labeled “This medication is not listed in this hospital’s inventory and requires external purchase/temporary compounding,” and an in-inventory alternative plan or the procurement/obtaining process must be provided.</w:t>
      </w:r>
    </w:p>
    <w:p/>
    <w:p>
      <w:pPr>
        <w:pStyle w:val="Heading3"/>
      </w:pPr>
      <w:r>
        <w:rPr>
          <w:color w:val="2980B9"/>
        </w:rPr>
        <w:t>Q1  Development of an antimicrobial treatment regimen for CKD G4 complicated by infection (individualized dosing in the setting of reduced renal function)</w:t>
      </w:r>
    </w:p>
    <w:p>
      <w:pPr>
        <w:spacing w:before="80" w:after="120" w:line="408" w:lineRule="auto"/>
        <w:ind w:left="227" w:right="227"/>
        <w:shd w:fill="EBF5FB" w:val="clear"/>
      </w:pPr>
      <w:r>
        <w:rPr>
          <w:rFonts w:ascii="微软雅黑" w:hAnsi="微软雅黑" w:eastAsia="微软雅黑"/>
          <w:b w:val="0"/>
          <w:i w:val="0"/>
          <w:sz w:val="22"/>
        </w:rPr>
        <w:t>A 54-year-old male, body weight 69 kg, creatinine 293 μmol/L, eGFR 21 mL/min/1.73 m² (CKD G4). He was admitted for fever, chills, cough with purulent sputum. Imaging suggested possible pulmonary infection. WBC 15×10^9/L, elevated CRP, and stable blood pressure. The attending physician plans empiric intravenous anti-infective therapy and hopes to cover common Gram-negative organisms as well as potential risks of resistant pathogens; please provide medication recommendations as a clinical pharmacist.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Blood pressure–volume management and hyperkalemia management with RAAS inhibitors/diuretics in CKD G4 (treatment plan adjustment)</w:t>
      </w:r>
    </w:p>
    <w:p>
      <w:pPr>
        <w:spacing w:before="80" w:after="120" w:line="408" w:lineRule="auto"/>
        <w:ind w:left="227" w:right="227"/>
        <w:shd w:fill="EBF5FB" w:val="clear"/>
      </w:pPr>
      <w:r>
        <w:rPr>
          <w:rFonts w:ascii="微软雅黑" w:hAnsi="微软雅黑" w:eastAsia="微软雅黑"/>
          <w:b w:val="0"/>
          <w:i w:val="0"/>
          <w:sz w:val="22"/>
        </w:rPr>
        <w:t>This CKD stage G4 patient had poor blood pressure control after admission (160/95 mmHg), with marked lower-limb edema and reduced urine output. The physician planned to intensify antihypertensive therapy and add diuretic treatment. On recheck on day 2 after medication: serum potassium 6.1 mmol/L, creatinine increased compared with admission to 330 μmol/L; the patient reported fatigue but had no symptoms of arrhythmia. The attending physician asked you, as a clinical pharmacist, to provide medication recommendations for the current treatment.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Anticoagulant decision-making for thromboprophylaxis/treatment in CKD G4 (perioperative/inpatient VTE risk, renal function–based dose adjustments)</w:t>
      </w:r>
    </w:p>
    <w:p>
      <w:pPr>
        <w:spacing w:before="80" w:after="120" w:line="408" w:lineRule="auto"/>
        <w:ind w:left="227" w:right="227"/>
        <w:shd w:fill="EBF5FB" w:val="clear"/>
      </w:pPr>
      <w:r>
        <w:rPr>
          <w:rFonts w:ascii="微软雅黑" w:hAnsi="微软雅黑" w:eastAsia="微软雅黑"/>
          <w:b w:val="0"/>
          <w:i w:val="0"/>
          <w:sz w:val="22"/>
        </w:rPr>
        <w:t>The patient has been bedridden for several days due to a pulmonary infection and has recently developed swelling and pain in the right lower leg. D-dimer is elevated, and ultrasound suggests possible deep vein thrombosis. The attending physician plans to initiate anticoagulation as soon as possible but is concerned about the bleeding risk and inconvenience of medication use associated with the patient’s eGFR of 21 mL/min. As a clinical pharmacist, please provide medication recommendations.</w:t>
      </w:r>
    </w:p>
    <w:p>
      <w:pPr>
        <w:spacing w:before="80" w:after="40" w:line="336" w:lineRule="auto"/>
      </w:pPr>
      <w:r>
        <w:rPr>
          <w:rFonts w:ascii="微软雅黑" w:hAnsi="微软雅黑" w:eastAsia="微软雅黑"/>
          <w:b w:val="0"/>
          <w:i w:val="0"/>
          <w:color w:val="AAAAAA"/>
          <w:sz w:val="16"/>
        </w:rPr>
        <w:t>Response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 Based on the clinical decision-making in Task 1, produce an execution-ready document.</w:t>
        <w:br/>
        <w:br/>
        <w:t>Requirements: Any medications mentioned in the document must use the full inventory-listed name and specification. For medications not in inventory, label them in the document as “requires external purchase/temporary compounding” and describe the procurement process.</w:t>
      </w:r>
    </w:p>
    <w:p>
      <w:pPr>
        <w:spacing w:before="120" w:after="80" w:line="336" w:lineRule="auto"/>
      </w:pPr>
      <w:r>
        <w:rPr>
          <w:rFonts w:ascii="微软雅黑" w:hAnsi="微软雅黑" w:eastAsia="微软雅黑"/>
          <w:b/>
          <w:i w:val="0"/>
          <w:color w:val="7D6608"/>
          <w:sz w:val="20"/>
        </w:rPr>
        <w:t>Document Type: Dose Adjustment Decision Table</w:t>
      </w:r>
    </w:p>
    <w:p>
      <w:pPr>
        <w:spacing w:before="80" w:after="120" w:line="408" w:lineRule="auto"/>
        <w:ind w:left="227" w:right="227"/>
        <w:shd w:fill="FEF9E7" w:val="clear"/>
      </w:pPr>
      <w:r>
        <w:rPr>
          <w:rFonts w:ascii="微软雅黑" w:hAnsi="微软雅黑" w:eastAsia="微软雅黑"/>
          <w:b w:val="0"/>
          <w:i w:val="0"/>
          <w:sz w:val="22"/>
        </w:rPr>
        <w:t>Based on this patient’s CKD G4 (eGFR 21 mL/min/1.73 m²) complicated by infection, risk of hyperkalemia, and inpatient thrombosis risk, develop an “Inpatient Medication Dose Adjustment and Implementation Decision Document” that can be jointly executed by the clinical medical and nursing teams. This document should be used to guide: selection of antibacterial therapy and renal dose adjustment; a hold–restart strategy for RAAS inhibitors/diuretics and management of hyperkalemia; and anticoagulation regimens under severe renal impairment, including dosing and monitoring requirements.</w:t>
      </w:r>
    </w:p>
    <w:p>
      <w:pPr>
        <w:spacing w:before="80" w:after="40" w:line="336" w:lineRule="auto"/>
      </w:pPr>
      <w:r>
        <w:rPr>
          <w:rFonts w:ascii="微软雅黑" w:hAnsi="微软雅黑" w:eastAsia="微软雅黑"/>
          <w:b w:val="0"/>
          <w:i w:val="0"/>
          <w:color w:val="AAAAAA"/>
          <w:sz w:val="16"/>
        </w:rPr>
        <w:t>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