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E44AD"/>
          <w:sz w:val="32"/>
        </w:rPr>
        <w:t>Oncology · Solid Tumors — Breast Cancer Regimen</w:t>
      </w:r>
    </w:p>
    <w:p>
      <w:pPr>
        <w:spacing w:before="0" w:after="40" w:line="336" w:lineRule="auto"/>
      </w:pPr>
      <w:r>
        <w:rPr>
          <w:rFonts w:ascii="微软雅黑" w:hAnsi="微软雅黑" w:eastAsia="微软雅黑"/>
          <w:b w:val="0"/>
          <w:i w:val="0"/>
          <w:color w:val="999999"/>
          <w:sz w:val="18"/>
        </w:rPr>
        <w:t>Scenario ID: onco_001 · Task 1 × 3 questions + Task 2 × 1 question · Total: 16 points</w:t>
      </w:r>
    </w:p>
    <w:p>
      <w:pPr>
        <w:spacing w:before="0" w:after="120" w:line="336" w:lineRule="auto"/>
      </w:pPr>
      <w:r>
        <w:rPr>
          <w:rFonts w:ascii="微软雅黑" w:hAnsi="微软雅黑" w:eastAsia="微软雅黑"/>
          <w:b/>
          <w:i w:val="0"/>
          <w:color w:val="E74C3C"/>
          <w:sz w:val="18"/>
        </w:rPr>
        <w:t>Please provide a complete answer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42</w:t>
            </w:r>
          </w:p>
        </w:tc>
        <w:tc>
          <w:tcPr>
            <w:tcW w:type="dxa" w:w="1063"/>
            <w:shd w:fill="ECF0F1" w:val="clear"/>
          </w:tcPr>
          <w:p>
            <w:r>
              <w:t>Sex</w:t>
            </w:r>
            <w:r>
              <w:rPr>
                <w:rFonts w:ascii="微软雅黑" w:hAnsi="微软雅黑" w:eastAsia="微软雅黑"/>
                <w:b/>
                <w:i w:val="0"/>
                <w:color w:val="7F8C8D"/>
                <w:sz w:val="16"/>
              </w:rPr>
            </w:r>
          </w:p>
        </w:tc>
        <w:tc>
          <w:tcPr>
            <w:tcW w:type="dxa" w:w="1063"/>
          </w:tcPr>
          <w:p>
            <w:r>
              <w:t>Female</w:t>
            </w:r>
            <w:r>
              <w:rPr>
                <w:rFonts w:ascii="微软雅黑" w:hAnsi="微软雅黑" w:eastAsia="微软雅黑"/>
                <w:b/>
                <w:i w:val="0"/>
                <w:sz w:val="18"/>
              </w:rPr>
            </w:r>
          </w:p>
        </w:tc>
        <w:tc>
          <w:tcPr>
            <w:tcW w:type="dxa" w:w="1063"/>
            <w:shd w:fill="ECF0F1" w:val="clear"/>
          </w:tcPr>
          <w:p>
            <w:r>
              <w:t>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57</w:t>
            </w:r>
          </w:p>
        </w:tc>
        <w:tc>
          <w:tcPr>
            <w:tcW w:type="dxa" w:w="1063"/>
            <w:shd w:fill="ECF0F1" w:val="clear"/>
          </w:tcPr>
          <w:p>
            <w:r>
              <w:t>Height (cm)</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174</w:t>
            </w:r>
          </w:p>
        </w:tc>
      </w:tr>
      <w:tr>
        <w:tc>
          <w:tcPr>
            <w:tcW w:type="dxa" w:w="1063"/>
            <w:shd w:fill="ECF0F1" w:val="clear"/>
          </w:tcPr>
          <w:p>
            <w:r/>
            <w:r>
              <w:rPr>
                <w:rFonts w:ascii="微软雅黑" w:hAnsi="微软雅黑" w:eastAsia="微软雅黑"/>
                <w:b/>
                <w:i w:val="0"/>
                <w:color w:val="7F8C8D"/>
                <w:sz w:val="16"/>
              </w:rPr>
              <w:t>BSA(m²)</w:t>
            </w:r>
          </w:p>
        </w:tc>
        <w:tc>
          <w:tcPr>
            <w:tcW w:type="dxa" w:w="1063"/>
          </w:tcPr>
          <w:p>
            <w:r/>
            <w:r>
              <w:rPr>
                <w:rFonts w:ascii="微软雅黑" w:hAnsi="微软雅黑" w:eastAsia="微软雅黑"/>
                <w:b/>
                <w:i w:val="0"/>
                <w:sz w:val="18"/>
              </w:rPr>
              <w:t>1.66</w:t>
            </w:r>
          </w:p>
        </w:tc>
        <w:tc>
          <w:tcPr>
            <w:tcW w:type="dxa" w:w="1063"/>
            <w:shd w:fill="ECF0F1" w:val="clear"/>
          </w:tcPr>
          <w:p>
            <w:r/>
            <w:r>
              <w:rPr>
                <w:rFonts w:ascii="微软雅黑" w:hAnsi="微软雅黑" w:eastAsia="微软雅黑"/>
                <w:b/>
                <w:i w:val="0"/>
                <w:color w:val="7F8C8D"/>
                <w:sz w:val="16"/>
              </w:rPr>
              <w:t>ECOG</w:t>
            </w:r>
          </w:p>
        </w:tc>
        <w:tc>
          <w:tcPr>
            <w:tcW w:type="dxa" w:w="1063"/>
          </w:tcPr>
          <w:p>
            <w:r/>
            <w:r>
              <w:rPr>
                <w:rFonts w:ascii="微软雅黑" w:hAnsi="微软雅黑" w:eastAsia="微软雅黑"/>
                <w:b/>
                <w:i w:val="0"/>
                <w:sz w:val="18"/>
              </w:rPr>
              <w:t>2</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129</w:t>
            </w:r>
          </w:p>
        </w:tc>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42</w:t>
            </w:r>
          </w:p>
        </w:tc>
      </w:tr>
      <w:tr>
        <w:tc>
          <w:tcPr>
            <w:tcW w:type="dxa" w:w="1063"/>
            <w:shd w:fill="ECF0F1" w:val="clear"/>
          </w:tcPr>
          <w:p>
            <w:r/>
            <w:r>
              <w:rPr>
                <w:rFonts w:ascii="微软雅黑" w:hAnsi="微软雅黑" w:eastAsia="微软雅黑"/>
                <w:b/>
                <w:i w:val="0"/>
                <w:color w:val="7F8C8D"/>
                <w:sz w:val="16"/>
              </w:rPr>
              <w:t>ALT(U/L)</w:t>
            </w:r>
          </w:p>
        </w:tc>
        <w:tc>
          <w:tcPr>
            <w:tcW w:type="dxa" w:w="1063"/>
          </w:tcPr>
          <w:p>
            <w:r/>
            <w:r>
              <w:rPr>
                <w:rFonts w:ascii="微软雅黑" w:hAnsi="微软雅黑" w:eastAsia="微软雅黑"/>
                <w:b/>
                <w:i w:val="0"/>
                <w:sz w:val="18"/>
              </w:rPr>
              <w:t>43</w:t>
            </w:r>
          </w:p>
        </w:tc>
        <w:tc>
          <w:tcPr>
            <w:tcW w:type="dxa" w:w="1063"/>
            <w:shd w:fill="ECF0F1" w:val="clear"/>
          </w:tcPr>
          <w:p>
            <w:r>
              <w:t>Diagnosis</w:t>
            </w:r>
            <w:r>
              <w:rPr>
                <w:rFonts w:ascii="微软雅黑" w:hAnsi="微软雅黑" w:eastAsia="微软雅黑"/>
                <w:b/>
                <w:i w:val="0"/>
                <w:color w:val="7F8C8D"/>
                <w:sz w:val="16"/>
              </w:rPr>
            </w:r>
          </w:p>
        </w:tc>
        <w:tc>
          <w:tcPr>
            <w:tcW w:type="dxa" w:w="1063"/>
          </w:tcPr>
          <w:p>
            <w:r>
              <w:t>Invasive breast carcinoma (HER2-positive/HR-positive), stage II, neoadjuvant therapy</w:t>
            </w:r>
            <w:r>
              <w:rPr>
                <w:rFonts w:ascii="微软雅黑" w:hAnsi="微软雅黑" w:eastAsia="微软雅黑"/>
                <w:b/>
                <w:i w:val="0"/>
                <w:sz w:val="18"/>
              </w:rPr>
            </w:r>
          </w:p>
        </w:tc>
        <w:tc>
          <w:tcPr>
            <w:tcW w:type="dxa" w:w="1063"/>
          </w:tcPr>
          <w:p/>
        </w:tc>
        <w:tc>
          <w:tcPr>
            <w:tcW w:type="dxa" w:w="1063"/>
          </w:tcP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evaluation, and in conjunction with the hospital’s medication inventory, complete the following comprehensive assessment questions.</w:t>
      </w:r>
    </w:p>
    <w:p/>
    <w:p>
      <w:pPr>
        <w:pStyle w:val="Heading3"/>
      </w:pPr>
      <w:r>
        <w:rPr>
          <w:color w:val="2980B9"/>
        </w:rPr>
        <w:t>Q1  HER2-positive/HR-positive Stage II Breast Cancer: Full Neoadjuvant Treatment Regimen and Cardiac Safety Management</w:t>
      </w:r>
    </w:p>
    <w:p>
      <w:pPr>
        <w:spacing w:before="80" w:after="120" w:line="408" w:lineRule="auto"/>
        <w:ind w:left="227" w:right="227"/>
        <w:shd w:fill="EBF5FB" w:val="clear"/>
      </w:pPr>
      <w:r>
        <w:rPr>
          <w:rFonts w:ascii="微软雅黑" w:hAnsi="微软雅黑" w:eastAsia="微软雅黑"/>
          <w:b w:val="0"/>
          <w:i w:val="0"/>
          <w:sz w:val="22"/>
        </w:rPr>
        <w:t>A 42-year-old woman with stage II invasive breast cancer (HER2-positive/HR-positive) is planned for neoadjuvant therapy, ECOG 2; Scr 129 μmol/L, eGFR 42 mL/min/1.73 m²; ALT 43 U/L. The attending physician intends to initiate an intravenous-based regimen as soon as possible and is concerned about treatment tolerability and cardiac risk in the setting of no clear prior cardiac disease history but concomitant renal insufficiency. Please provide, as a clinical pharmacist, comprehensive pharmaceutical recommendations for her inpatient antitumor medications and supportive care during hospitalization.</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Pharmaceutical Management and Reassessment of Suspected Cardiotoxicity Events During the Implementation of Neoadjuvant Therapy</w:t>
      </w:r>
    </w:p>
    <w:p>
      <w:pPr>
        <w:spacing w:before="80" w:after="120" w:line="408" w:lineRule="auto"/>
        <w:ind w:left="227" w:right="227"/>
        <w:shd w:fill="EBF5FB" w:val="clear"/>
      </w:pPr>
      <w:r>
        <w:rPr>
          <w:rFonts w:ascii="微软雅黑" w:hAnsi="微软雅黑" w:eastAsia="微软雅黑"/>
          <w:b w:val="0"/>
          <w:i w:val="0"/>
          <w:sz w:val="22"/>
        </w:rPr>
        <w:t>On day 10 after starting the second cycle of inpatient neoadjuvant therapy, the patient developed exertional dyspnea and palpitations, with occasional dizziness. Repeat echocardiography showed that LVEF decreased from a baseline of 62% to 50%, and GLS decreased by approximately 18% compared with baseline; ECG showed sinus tachycardia. The attending physician is considering continuing the next cycle as originally planned but is concerned about cardiac adverse events. As a clinical pharmacist, please provide recommendations on the next steps for pharmacotherapy and monitoring.</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Recommendations for Inpatient Supportive Care and Antimicrobial Therapy in Chemotherapy-Related Myelosuppression Complicated by Suspected Infection</w:t>
      </w:r>
    </w:p>
    <w:p>
      <w:pPr>
        <w:spacing w:before="80" w:after="120" w:line="408" w:lineRule="auto"/>
        <w:ind w:left="227" w:right="227"/>
        <w:shd w:fill="EBF5FB" w:val="clear"/>
      </w:pPr>
      <w:r>
        <w:rPr>
          <w:rFonts w:ascii="微软雅黑" w:hAnsi="微软雅黑" w:eastAsia="微软雅黑"/>
          <w:b w:val="0"/>
          <w:i w:val="0"/>
          <w:sz w:val="22"/>
        </w:rPr>
        <w:t>During subsequent treatment, on day 8 of a certain cycle the patient developed a fever of 38.6 °C, sore throat, and fatigue. Complete blood count showed ANC 0.4×10^9/L, PLT 78×10^9/L, and Hb 86 g/L; creatinine increased compared with prior values, with an eGFR of approximately 40 mL/min/1.73 m². The attending physician planned empiric anti-infective therapy and management of myelosuppression, but was concerned about renal function and bleeding risk. As a clinical pharmacist, please provide recommendations for the patient’s inpatient medication therapy.</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Execution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execution document. Based on the clinical decisions from Task 1, please produce an execution document that can be directly implemented.</w:t>
        <w:br/>
        <w:br/>
        <w:t>Requirements: Medications mentioned in the document must use the full name and specification as listed in inventory; for medications not in inventory, label them in the document as “requires external purchase/temporary compounding” and describe the procurement process.</w:t>
      </w:r>
    </w:p>
    <w:p>
      <w:pPr>
        <w:spacing w:before="120" w:after="80" w:line="336" w:lineRule="auto"/>
      </w:pPr>
      <w:r>
        <w:rPr>
          <w:rFonts w:ascii="微软雅黑" w:hAnsi="微软雅黑" w:eastAsia="微软雅黑"/>
          <w:b/>
          <w:i w:val="0"/>
          <w:color w:val="7D6608"/>
          <w:sz w:val="20"/>
        </w:rPr>
        <w:t>Document Type: Pharmaceutical Care Plan Form</w:t>
      </w:r>
    </w:p>
    <w:p>
      <w:pPr>
        <w:spacing w:before="80" w:after="120" w:line="408" w:lineRule="auto"/>
        <w:ind w:left="227" w:right="227"/>
        <w:shd w:fill="FEF9E7" w:val="clear"/>
      </w:pPr>
      <w:r>
        <w:rPr>
          <w:rFonts w:ascii="微软雅黑" w:hAnsi="微软雅黑" w:eastAsia="微软雅黑"/>
          <w:b w:val="0"/>
          <w:i w:val="0"/>
          <w:sz w:val="22"/>
        </w:rPr>
        <w:t>Please develop an inpatient, immediately actionable pharmaceutical monitoring document for this patient (HER2-positive/HR-positive stage II breast cancer undergoing neoadjuvant therapy, with suspected cardiotoxicity signals and concomitant febrile neutropenia). The document will be used to guide physicians and the nursing team in medication use and monitoring execution during: “temporary deferral and assessment for the next cycle of antitumor therapy, cardiac safety management, urgent management of high-risk febrile neutropenia, and medication transition/outside purchase procedures under limited inventory.”</w:t>
      </w:r>
    </w:p>
    <w:p>
      <w:pPr>
        <w:spacing w:before="80" w:after="40" w:line="336" w:lineRule="auto"/>
      </w:pPr>
      <w:r>
        <w:rPr>
          <w:rFonts w:ascii="微软雅黑" w:hAnsi="微软雅黑" w:eastAsia="微软雅黑"/>
          <w:b w:val="0"/>
          <w:i w:val="0"/>
          <w:color w:val="AAAAAA"/>
          <w:sz w:val="16"/>
        </w:rPr>
        <w:t>Answer Section (Task 2 document;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