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E44AD"/>
          <w:sz w:val="32"/>
        </w:rPr>
        <w:t>Oncology · Solid Tumors — Breast Cancer Regimen</w:t>
      </w:r>
    </w:p>
    <w:p>
      <w:pPr>
        <w:spacing w:before="0" w:after="40" w:line="336" w:lineRule="auto"/>
      </w:pPr>
      <w:r>
        <w:rPr>
          <w:rFonts w:ascii="微软雅黑" w:hAnsi="微软雅黑" w:eastAsia="微软雅黑"/>
          <w:b w:val="0"/>
          <w:i w:val="0"/>
          <w:color w:val="999999"/>
          <w:sz w:val="18"/>
        </w:rPr>
        <w:t>Scenario ID: onco_002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Patient Basic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55</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54</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175</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1.62</w:t>
            </w:r>
          </w:p>
        </w:tc>
        <w:tc>
          <w:tcPr>
            <w:tcW w:type="dxa" w:w="1063"/>
            <w:shd w:fill="ECF0F1" w:val="clear"/>
          </w:tcPr>
          <w:p>
            <w:r/>
            <w:r>
              <w:rPr>
                <w:rFonts w:ascii="微软雅黑" w:hAnsi="微软雅黑" w:eastAsia="微软雅黑"/>
                <w:b/>
                <w:i w:val="0"/>
                <w:color w:val="7F8C8D"/>
                <w:sz w:val="16"/>
              </w:rPr>
              <w:t>ECOG</w:t>
            </w:r>
          </w:p>
        </w:tc>
        <w:tc>
          <w:tcPr>
            <w:tcW w:type="dxa" w:w="1063"/>
          </w:tcPr>
          <w:p>
            <w:r/>
            <w:r>
              <w:rPr>
                <w:rFonts w:ascii="微软雅黑" w:hAnsi="微软雅黑" w:eastAsia="微软雅黑"/>
                <w:b/>
                <w:i w:val="0"/>
                <w:sz w:val="18"/>
              </w:rPr>
              <w:t>0</w:t>
            </w:r>
          </w:p>
        </w:tc>
        <w:tc>
          <w:tcPr>
            <w:tcW w:type="dxa" w:w="1063"/>
            <w:shd w:fill="ECF0F1" w:val="clear"/>
          </w:tcPr>
          <w:p>
            <w:r>
              <w:t>Creatinine (µmol/L)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125</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55</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31</w:t>
            </w:r>
          </w:p>
        </w:tc>
        <w:tc>
          <w:tcPr>
            <w:tcW w:type="dxa" w:w="1063"/>
            <w:shd w:fill="ECF0F1" w:val="clear"/>
          </w:tcPr>
          <w:p>
            <w:r>
              <w:t>Diagnosis</w:t>
            </w:r>
            <w:r>
              <w:rPr>
                <w:rFonts w:ascii="微软雅黑" w:hAnsi="微软雅黑" w:eastAsia="微软雅黑"/>
                <w:b/>
                <w:i w:val="0"/>
                <w:color w:val="7F8C8D"/>
                <w:sz w:val="16"/>
              </w:rPr>
            </w:r>
          </w:p>
        </w:tc>
        <w:tc>
          <w:tcPr>
            <w:tcW w:type="dxa" w:w="1063"/>
          </w:tcPr>
          <w:p>
            <w:r>
              <w:t>Invasive breast cancer (HER2-positive/HR-positive), stage III, neoadjuvant therapy</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integrated assessment items in conjunction with the hospital’s drug inventory.</w:t>
        <w:br/>
        <w:br/>
        <w:t>Requirements: For recommended medications, the full drug name and specification available in the inventory must be used. If a medication outside the inventory is required, it must be clearly labeled as “This medication is not listed in our hospital inventory and requires external purchase/temporary compounding,” and an in-inventory alternative or the procurement process must be provided.</w:t>
      </w:r>
    </w:p>
    <w:p/>
    <w:p>
      <w:pPr>
        <w:pStyle w:val="Heading3"/>
      </w:pPr>
      <w:r>
        <w:rPr>
          <w:color w:val="2980B9"/>
        </w:rPr>
        <w:t>Q1  Development of a full-course neoadjuvant treatment regimen for HER2-positive/HR-positive breast cancer (including supportive care)</w:t>
      </w:r>
    </w:p>
    <w:p>
      <w:pPr>
        <w:spacing w:before="80" w:after="120" w:line="408" w:lineRule="auto"/>
        <w:ind w:left="227" w:right="227"/>
        <w:shd w:fill="EBF5FB" w:val="clear"/>
      </w:pPr>
      <w:r>
        <w:rPr>
          <w:rFonts w:ascii="微软雅黑" w:hAnsi="微软雅黑" w:eastAsia="微软雅黑"/>
          <w:b w:val="0"/>
          <w:i w:val="0"/>
          <w:sz w:val="22"/>
        </w:rPr>
        <w:t>A 55-year-old male with invasive breast cancer (HER2-positive/HR-positive), stage III, is planned to receive neoadjuvant therapy. ECOG 0, body weight 54 kg, height 175 cm (BSA 1.62 m²), Scr 125 μmol/L, eGFR 55 mL/min/1.73 m², ALT 31 U/L. The attending physician asks you, as the clinical pharmacist, to provide pharmaceutical recommendations for the patient’s full-course neoadjuvant medication management during hospitalization.</w:t>
      </w:r>
    </w:p>
    <w:p>
      <w:pPr>
        <w:spacing w:before="80" w:after="40" w:line="336" w:lineRule="auto"/>
      </w:pPr>
      <w:r>
        <w:rPr>
          <w:rFonts w:ascii="微软雅黑" w:hAnsi="微软雅黑" w:eastAsia="微软雅黑"/>
          <w:b w:val="0"/>
          <w:i w:val="0"/>
          <w:color w:val="AAAAAA"/>
          <w:sz w:val="16"/>
        </w:rPr>
        <w:t>Response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chemotherapy-related adverse reactions: risk of febrile neutropenia and secondary prophylaxis</w:t>
      </w:r>
    </w:p>
    <w:p>
      <w:pPr>
        <w:spacing w:before="80" w:after="120" w:line="408" w:lineRule="auto"/>
        <w:ind w:left="227" w:right="227"/>
        <w:shd w:fill="EBF5FB" w:val="clear"/>
      </w:pPr>
      <w:r>
        <w:rPr>
          <w:rFonts w:ascii="微软雅黑" w:hAnsi="微软雅黑" w:eastAsia="微软雅黑"/>
          <w:b w:val="0"/>
          <w:i w:val="0"/>
          <w:sz w:val="22"/>
        </w:rPr>
        <w:t>On day 9 after completion of cycle 1 of neoadjuvant therapy, the patient developed fatigue and oral pain, with a temperature of 38.5°C. Complete blood count showed WBC 1.1×10^9/L, ANC 0.4×10^9/L, and PLT 92×10^9/L. The attending physician requests that you, as a clinical pharmacist, provide pharmaceutical recommendations regarding management of the current medication regimen and management of subsequent cycles.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Risk Management and Regimen Adjustment for Anti-HER2/Anthracycline-Related Cardiotoxicity</w:t>
      </w:r>
    </w:p>
    <w:p>
      <w:pPr>
        <w:spacing w:before="80" w:after="120" w:line="408" w:lineRule="auto"/>
        <w:ind w:left="227" w:right="227"/>
        <w:shd w:fill="EBF5FB" w:val="clear"/>
      </w:pPr>
      <w:r>
        <w:rPr>
          <w:rFonts w:ascii="微软雅黑" w:hAnsi="微软雅黑" w:eastAsia="微软雅黑"/>
          <w:b w:val="0"/>
          <w:i w:val="0"/>
          <w:sz w:val="22"/>
        </w:rPr>
        <w:t>Before initiation of cycle 3 of treatment, a repeat echocardiogram showed that LVEF decreased from a baseline of 62% to 50%. The patient reported exertional dyspnea (NYHA II), heart rate 96 beats/min, and blood pressure 118/72 mmHg. The attending physician requests you, as a clinical pharmacist, to provide pharmacotherapy recommendations regarding subsequent antitumor medications and monitoring.</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Based on the clinical decision-making from Task 1, produce documentation that can be implemented directly.</w:t>
        <w:br/>
        <w:br/>
        <w:t>Requirements: Any medications mentioned in the documentation must use the full name and specification as listed in the inventory; medications not in the inventory must be labeled in the documentation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Chemotherapy Regimen Verification Checklist</w:t>
      </w:r>
    </w:p>
    <w:p>
      <w:pPr>
        <w:spacing w:before="80" w:after="120" w:line="408" w:lineRule="auto"/>
        <w:ind w:left="227" w:right="227"/>
        <w:shd w:fill="FEF9E7" w:val="clear"/>
      </w:pPr>
      <w:r>
        <w:rPr>
          <w:rFonts w:ascii="微软雅黑" w:hAnsi="微软雅黑" w:eastAsia="微软雅黑"/>
          <w:b w:val="0"/>
          <w:i w:val="0"/>
          <w:sz w:val="22"/>
        </w:rPr>
        <w:t>Please, based on the patient’s current key milestones in neoadjuvant therapy (implementation of externally purchased dual anti-HER2 targeted therapy, emergency management of febrile neutropenia after chemotherapy, and medication adjustments after a decrease in LVEF accompanied by NYHA class II symptoms), develop a “treatment medication verification document” for inpatient pharmacists that can be directly used for order review and bedside administration verification. It should guide whether medications should be administered on the day of review, which prerequisite assessments must be completed, and how to manage abnormalities and escalate communication when issues are identified.</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