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E44AD"/>
          <w:sz w:val="32"/>
        </w:rPr>
        <w:t>Oncology · Solid Tumors — Lung Cancer Chemotherapy</w:t>
      </w:r>
    </w:p>
    <w:p>
      <w:pPr>
        <w:spacing w:before="0" w:after="40" w:line="336" w:lineRule="auto"/>
      </w:pPr>
      <w:r>
        <w:rPr>
          <w:rFonts w:ascii="微软雅黑" w:hAnsi="微软雅黑" w:eastAsia="微软雅黑"/>
          <w:b w:val="0"/>
          <w:i w:val="0"/>
          <w:color w:val="999999"/>
          <w:sz w:val="18"/>
        </w:rPr>
        <w:t>Scenario ID: onco_009 · Task 1: 3 questions + Task 2: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62</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80</w:t>
            </w:r>
          </w:p>
        </w:tc>
        <w:tc>
          <w:tcPr>
            <w:tcW w:type="dxa" w:w="1063"/>
            <w:shd w:fill="ECF0F1" w:val="clear"/>
          </w:tcPr>
          <w:p>
            <w:r>
              <w:t>Height (cm)</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159</w:t>
            </w:r>
          </w:p>
        </w:tc>
      </w:tr>
      <w:tr>
        <w:tc>
          <w:tcPr>
            <w:tcW w:type="dxa" w:w="1063"/>
            <w:shd w:fill="ECF0F1" w:val="clear"/>
          </w:tcPr>
          <w:p>
            <w:r/>
            <w:r>
              <w:rPr>
                <w:rFonts w:ascii="微软雅黑" w:hAnsi="微软雅黑" w:eastAsia="微软雅黑"/>
                <w:b/>
                <w:i w:val="0"/>
                <w:color w:val="7F8C8D"/>
                <w:sz w:val="16"/>
              </w:rPr>
              <w:t>BSA(m²)</w:t>
            </w:r>
          </w:p>
        </w:tc>
        <w:tc>
          <w:tcPr>
            <w:tcW w:type="dxa" w:w="1063"/>
          </w:tcPr>
          <w:p>
            <w:r/>
            <w:r>
              <w:rPr>
                <w:rFonts w:ascii="微软雅黑" w:hAnsi="微软雅黑" w:eastAsia="微软雅黑"/>
                <w:b/>
                <w:i w:val="0"/>
                <w:sz w:val="18"/>
              </w:rPr>
              <w:t>1.88</w:t>
            </w:r>
          </w:p>
        </w:tc>
        <w:tc>
          <w:tcPr>
            <w:tcW w:type="dxa" w:w="1063"/>
            <w:shd w:fill="ECF0F1" w:val="clear"/>
          </w:tcPr>
          <w:p>
            <w:r/>
            <w:r>
              <w:rPr>
                <w:rFonts w:ascii="微软雅黑" w:hAnsi="微软雅黑" w:eastAsia="微软雅黑"/>
                <w:b/>
                <w:i w:val="0"/>
                <w:color w:val="7F8C8D"/>
                <w:sz w:val="16"/>
              </w:rPr>
              <w:t>ECOG</w:t>
            </w:r>
          </w:p>
        </w:tc>
        <w:tc>
          <w:tcPr>
            <w:tcW w:type="dxa" w:w="1063"/>
          </w:tcPr>
          <w:p>
            <w:r/>
            <w:r>
              <w:rPr>
                <w:rFonts w:ascii="微软雅黑" w:hAnsi="微软雅黑" w:eastAsia="微软雅黑"/>
                <w:b/>
                <w:i w:val="0"/>
                <w:sz w:val="18"/>
              </w:rPr>
              <w:t>2</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81</w:t>
            </w:r>
          </w:p>
        </w:tc>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66</w:t>
            </w:r>
          </w:p>
        </w:tc>
      </w:tr>
      <w:tr>
        <w:tc>
          <w:tcPr>
            <w:tcW w:type="dxa" w:w="1063"/>
            <w:shd w:fill="ECF0F1" w:val="clear"/>
          </w:tcPr>
          <w:p>
            <w:r/>
            <w:r>
              <w:rPr>
                <w:rFonts w:ascii="微软雅黑" w:hAnsi="微软雅黑" w:eastAsia="微软雅黑"/>
                <w:b/>
                <w:i w:val="0"/>
                <w:color w:val="7F8C8D"/>
                <w:sz w:val="16"/>
              </w:rPr>
              <w:t>ALT(U/L)</w:t>
            </w:r>
          </w:p>
        </w:tc>
        <w:tc>
          <w:tcPr>
            <w:tcW w:type="dxa" w:w="1063"/>
          </w:tcPr>
          <w:p>
            <w:r/>
            <w:r>
              <w:rPr>
                <w:rFonts w:ascii="微软雅黑" w:hAnsi="微软雅黑" w:eastAsia="微软雅黑"/>
                <w:b/>
                <w:i w:val="0"/>
                <w:sz w:val="18"/>
              </w:rPr>
              <w:t>67</w:t>
            </w:r>
          </w:p>
        </w:tc>
        <w:tc>
          <w:tcPr>
            <w:tcW w:type="dxa" w:w="1063"/>
            <w:shd w:fill="ECF0F1" w:val="clear"/>
          </w:tcPr>
          <w:p>
            <w:r>
              <w:t>Diagnosis</w:t>
            </w:r>
            <w:r>
              <w:rPr>
                <w:rFonts w:ascii="微软雅黑" w:hAnsi="微软雅黑" w:eastAsia="微软雅黑"/>
                <w:b/>
                <w:i w:val="0"/>
                <w:color w:val="7F8C8D"/>
                <w:sz w:val="16"/>
              </w:rPr>
            </w:r>
          </w:p>
        </w:tc>
        <w:tc>
          <w:tcPr>
            <w:tcW w:type="dxa" w:w="1063"/>
          </w:tcPr>
          <w:p>
            <w:r>
              <w:t>Non-small cell lung cancer (adenocarcinoma), stage IV, no driver gene alterations (wild-type)</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and in conjunction with this hospital’s drug inventory, complete the following comprehensive assessment questions.</w:t>
        <w:br/>
        <w:br/>
        <w:t>Requirements: Any recommended medication must use the full drug name and specification available in the inventory. If an out-of-inventory medication is required, clearly label it as “This medication is not listed in this hospital’s inventory and must be purchased externally/compounded temporarily,” and provide an in-inventory alternative plan or an acquisition process.</w:t>
      </w:r>
    </w:p>
    <w:p/>
    <w:p>
      <w:pPr>
        <w:pStyle w:val="Heading3"/>
      </w:pPr>
      <w:r>
        <w:rPr>
          <w:color w:val="2980B9"/>
        </w:rPr>
        <w:t>Q1  Formulating First-Line Systemic Treatment Regimens for Advanced NSCLC (Incorporating Inventory Constraints)</w:t>
      </w:r>
    </w:p>
    <w:p>
      <w:pPr>
        <w:spacing w:before="80" w:after="120" w:line="408" w:lineRule="auto"/>
        <w:ind w:left="227" w:right="227"/>
        <w:shd w:fill="EBF5FB" w:val="clear"/>
      </w:pPr>
      <w:r>
        <w:rPr>
          <w:rFonts w:ascii="微软雅黑" w:hAnsi="微软雅黑" w:eastAsia="微软雅黑"/>
          <w:b w:val="0"/>
          <w:i w:val="0"/>
          <w:sz w:val="22"/>
        </w:rPr>
        <w:t>A 62-year-old woman with stage IV NSCLC adenocarcinoma, driver-gene wild type, ECOG 2. Scr 81 μmol/L, eGFR 66 mL/min/1.73 m², ALT 67 U/L. The attending physician plans to initiate inpatient systemic antitumor therapy with concurrent plans for antiemetic prophylaxis and management of myelosuppression, but at present prescriptions can only be issued from the hospital’s oncology drug inventory. As a clinical pharmacist, please provide complete medication recommendations.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Adverse reactions and supportive care adjustments during chemotherapy administration (myelosuppression/risk of febrile neutropenia)</w:t>
      </w:r>
    </w:p>
    <w:p>
      <w:pPr>
        <w:spacing w:before="80" w:after="120" w:line="408" w:lineRule="auto"/>
        <w:ind w:left="227" w:right="227"/>
        <w:shd w:fill="EBF5FB" w:val="clear"/>
      </w:pPr>
      <w:r>
        <w:rPr>
          <w:rFonts w:ascii="微软雅黑" w:hAnsi="微软雅黑" w:eastAsia="微软雅黑"/>
          <w:b w:val="0"/>
          <w:i w:val="0"/>
          <w:sz w:val="22"/>
        </w:rPr>
        <w:t>On day 9 after receiving the first cycle of an inpatient platinum-containing regimen, the patient developed chills and fever (T 38.4°C). Complete blood count: WBC 1.2×10^9/L, ANC 0.4×10^9/L, PLT 78×10^9/L; Scr 92 μmol/L. The attending physician requests that you, as the clinical pharmacist, provide pharmaceutical recommendations regarding the current medications and treatment for subsequent cycles.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Management of drug–drug interactions and liver function abnormalities in the setting of concomitant antifungal prophylaxis/treatment requirements (including in-stock medications)</w:t>
      </w:r>
    </w:p>
    <w:p>
      <w:pPr>
        <w:spacing w:before="80" w:after="120" w:line="408" w:lineRule="auto"/>
        <w:ind w:left="227" w:right="227"/>
        <w:shd w:fill="EBF5FB" w:val="clear"/>
      </w:pPr>
      <w:r>
        <w:rPr>
          <w:rFonts w:ascii="微软雅黑" w:hAnsi="微软雅黑" w:eastAsia="微软雅黑"/>
          <w:b w:val="0"/>
          <w:i w:val="0"/>
          <w:sz w:val="22"/>
        </w:rPr>
        <w:t>During subsequent treatment, the patient developed oral mucosal leukoplakia accompanied by odynophagia. Imaging suggests a possible risk of fungal infection. The attending physician plans to initiate oral antifungal therapy. Repeat liver function tests showed: ALT 156 U/L, TBil normal, Scr 85 μmol/L. Please, as a clinical pharmacist, provide recommendations regarding the current and planned medications.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execution documentation. Please generate directly actionable documentation based on the clinical decisions from Task 1.</w:t>
        <w:br/>
        <w:br/>
        <w:t>Requirements: Medications mentioned in the document must use the full name and specification as listed in inventory. Medications not in inventory must be labeled in the document as “requires external purchase/temporary compounding,” and the procurement process must be described.</w:t>
      </w:r>
    </w:p>
    <w:p>
      <w:pPr>
        <w:spacing w:before="120" w:after="80" w:line="336" w:lineRule="auto"/>
      </w:pPr>
      <w:r>
        <w:rPr>
          <w:rFonts w:ascii="微软雅黑" w:hAnsi="微软雅黑" w:eastAsia="微软雅黑"/>
          <w:b/>
          <w:i w:val="0"/>
          <w:color w:val="7D6608"/>
          <w:sz w:val="20"/>
        </w:rPr>
        <w:t>Document Type: Pharmacotherapy Monitoring Plan Form</w:t>
      </w:r>
    </w:p>
    <w:p>
      <w:pPr>
        <w:spacing w:before="80" w:after="120" w:line="408" w:lineRule="auto"/>
        <w:ind w:left="227" w:right="227"/>
        <w:shd w:fill="FEF9E7" w:val="clear"/>
      </w:pPr>
      <w:r>
        <w:rPr>
          <w:rFonts w:ascii="微软雅黑" w:hAnsi="微软雅黑" w:eastAsia="微软雅黑"/>
          <w:b w:val="0"/>
          <w:i w:val="0"/>
          <w:sz w:val="22"/>
        </w:rPr>
        <w:t>Based on this patient’s diagnosis and the established treatment decisions (first-line platinum-containing therapy with limited stock availability, management after the occurrence of febrile neutropenia, planned initiation of posaconazole in the setting of abnormal liver function), prepare a pharmacy monitoring document for the inpatient team that can be implemented directly in clinical practice, to guide medication use, monitoring, early warning, and interventions, and clearly label medication availability (in-hospital stock vs. requires external purchase) for the drugs involved.</w:t>
      </w:r>
    </w:p>
    <w:p>
      <w:pPr>
        <w:spacing w:before="80" w:after="40" w:line="336" w:lineRule="auto"/>
      </w:pPr>
      <w:r>
        <w:rPr>
          <w:rFonts w:ascii="微软雅黑" w:hAnsi="微软雅黑" w:eastAsia="微软雅黑"/>
          <w:b w:val="0"/>
          <w:i w:val="0"/>
          <w:color w:val="AAAAAA"/>
          <w:sz w:val="16"/>
        </w:rPr>
        <w:t>Answer Section (Task 2 documentation;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