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E44AD"/>
          <w:sz w:val="32"/>
        </w:rPr>
        <w:t>Oncology · Solid Tumors — Lung Cancer Chemotherapy</w:t>
      </w:r>
    </w:p>
    <w:p>
      <w:pPr>
        <w:spacing w:before="0" w:after="40" w:line="336" w:lineRule="auto"/>
      </w:pPr>
      <w:r>
        <w:rPr>
          <w:rFonts w:ascii="微软雅黑" w:hAnsi="微软雅黑" w:eastAsia="微软雅黑"/>
          <w:b w:val="0"/>
          <w:i w:val="0"/>
          <w:color w:val="999999"/>
          <w:sz w:val="18"/>
        </w:rPr>
        <w:t>Scenario ID: onco_003 · Task 1 × 3 questions + Task 2 × 1 question · Total: 16 points</w:t>
      </w:r>
    </w:p>
    <w:p>
      <w:pPr>
        <w:spacing w:before="0" w:after="120" w:line="336" w:lineRule="auto"/>
      </w:pPr>
      <w:r>
        <w:rPr>
          <w:rFonts w:ascii="微软雅黑" w:hAnsi="微软雅黑" w:eastAsia="微软雅黑"/>
          <w:b/>
          <w:i w:val="0"/>
          <w:color w:val="E74C3C"/>
          <w:sz w:val="18"/>
        </w:rPr>
        <w:t>Please provide your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55</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60</w:t>
            </w:r>
          </w:p>
        </w:tc>
        <w:tc>
          <w:tcPr>
            <w:tcW w:type="dxa" w:w="1063"/>
            <w:shd w:fill="ECF0F1" w:val="clear"/>
          </w:tcPr>
          <w:p>
            <w:r>
              <w:t>Height (cm)</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163</w:t>
            </w:r>
          </w:p>
        </w:tc>
      </w:tr>
      <w:tr>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1.65</w:t>
            </w:r>
          </w:p>
        </w:tc>
        <w:tc>
          <w:tcPr>
            <w:tcW w:type="dxa" w:w="1063"/>
            <w:shd w:fill="ECF0F1" w:val="clear"/>
          </w:tcPr>
          <w:p>
            <w:r/>
            <w:r>
              <w:rPr>
                <w:rFonts w:ascii="微软雅黑" w:hAnsi="微软雅黑" w:eastAsia="微软雅黑"/>
                <w:b/>
                <w:i w:val="0"/>
                <w:color w:val="7F8C8D"/>
                <w:sz w:val="16"/>
              </w:rPr>
              <w:t>ECOG</w:t>
            </w:r>
          </w:p>
        </w:tc>
        <w:tc>
          <w:tcPr>
            <w:tcW w:type="dxa" w:w="1063"/>
          </w:tcPr>
          <w:p>
            <w:r/>
            <w:r>
              <w:rPr>
                <w:rFonts w:ascii="微软雅黑" w:hAnsi="微软雅黑" w:eastAsia="微软雅黑"/>
                <w:b/>
                <w:i w:val="0"/>
                <w:sz w:val="18"/>
              </w:rPr>
              <w:t>1</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72</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78</w:t>
            </w:r>
          </w:p>
        </w:tc>
      </w:tr>
      <w:tr>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57</w:t>
            </w:r>
          </w:p>
        </w:tc>
        <w:tc>
          <w:tcPr>
            <w:tcW w:type="dxa" w:w="1063"/>
            <w:shd w:fill="ECF0F1" w:val="clear"/>
          </w:tcPr>
          <w:p>
            <w:r>
              <w:t>Diagnosis</w:t>
            </w:r>
            <w:r>
              <w:rPr>
                <w:rFonts w:ascii="微软雅黑" w:hAnsi="微软雅黑" w:eastAsia="微软雅黑"/>
                <w:b/>
                <w:i w:val="0"/>
                <w:color w:val="7F8C8D"/>
                <w:sz w:val="16"/>
              </w:rPr>
            </w:r>
          </w:p>
        </w:tc>
        <w:tc>
          <w:tcPr>
            <w:tcW w:type="dxa" w:w="1063"/>
          </w:tcPr>
          <w:p>
            <w:r>
              <w:t>Non-small cell lung cancer (adenocarcinoma), stage IV, EGFR 19del</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medication inventory.</w:t>
        <w:br/>
        <w:br/>
        <w:t>Requirements: For recommended medications, the full medication name and specification/strength available in the inventory must be used. If a medication outside the inventory is required, it must be clearly labeled as “This medication is not listed in this hospital’s inventory and requires external purchase/temporary compounding,” and an in-inventory alternative plan or an acquisition process must be provided.</w:t>
      </w:r>
    </w:p>
    <w:p/>
    <w:p>
      <w:pPr>
        <w:pStyle w:val="Heading3"/>
      </w:pPr>
      <w:r>
        <w:rPr>
          <w:color w:val="2980B9"/>
        </w:rPr>
        <w:t>Q1  Development of a first-line systemic treatment regimen (advanced NSCLC with EGFR-sensitizing mutations)</w:t>
      </w:r>
    </w:p>
    <w:p>
      <w:pPr>
        <w:spacing w:before="80" w:after="120" w:line="408" w:lineRule="auto"/>
        <w:ind w:left="227" w:right="227"/>
        <w:shd w:fill="EBF5FB" w:val="clear"/>
      </w:pPr>
      <w:r>
        <w:rPr>
          <w:rFonts w:ascii="微软雅黑" w:hAnsi="微软雅黑" w:eastAsia="微软雅黑"/>
          <w:b w:val="0"/>
          <w:i w:val="0"/>
          <w:sz w:val="22"/>
        </w:rPr>
        <w:t>A 55-year-old female with NSCLC (adenocarcinoma), stage IV, EGFR 19del, ECOG 1, Scr 72 μmol/L, eGFR 78 mL/min/1.73 m², ALT 57 U/L. The attending physician plans to initiate systemic antitumor therapy and requests consultation: as a clinical pharmacist, please provide comprehensive pharmaceutical recommendations for this patient’s medication regimen.</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Adverse Reactions During Treatment and Treatment Plan Adjustments (EGFR-TKI–Related Liver Injury/Diarrhea)</w:t>
      </w:r>
    </w:p>
    <w:p>
      <w:pPr>
        <w:spacing w:before="80" w:after="120" w:line="408" w:lineRule="auto"/>
        <w:ind w:left="227" w:right="227"/>
        <w:shd w:fill="EBF5FB" w:val="clear"/>
      </w:pPr>
      <w:r>
        <w:rPr>
          <w:rFonts w:ascii="微软雅黑" w:hAnsi="微软雅黑" w:eastAsia="微软雅黑"/>
          <w:b w:val="0"/>
          <w:i w:val="0"/>
          <w:sz w:val="22"/>
        </w:rPr>
        <w:t>On day 18 after initiating oral targeted therapy, the patient was re-evaluated: ALT 216 U/L, AST 132 U/L, with normal TBil. The patient also developed watery diarrhea 6 times daily accompanied by fatigue, without fever. The attending physician asks you, as a clinical pharmacist, to provide recommendations on the current medication management and the subsequent treatment plan.</w:t>
      </w:r>
    </w:p>
    <w:p>
      <w:pPr>
        <w:spacing w:before="80" w:after="40" w:line="336" w:lineRule="auto"/>
      </w:pPr>
      <w:r>
        <w:rPr>
          <w:rFonts w:ascii="微软雅黑" w:hAnsi="微软雅黑" w:eastAsia="微软雅黑"/>
          <w:b w:val="0"/>
          <w:i w:val="0"/>
          <w:color w:val="AAAAAA"/>
          <w:sz w:val="16"/>
        </w:rPr>
        <w:t>▸ 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Later-line treatment strategies and supportive medications after disease progression (including platinum-based chemotherapy/antiemetics)</w:t>
      </w:r>
    </w:p>
    <w:p>
      <w:pPr>
        <w:spacing w:before="80" w:after="120" w:line="408" w:lineRule="auto"/>
        <w:ind w:left="227" w:right="227"/>
        <w:shd w:fill="EBF5FB" w:val="clear"/>
      </w:pPr>
      <w:r>
        <w:rPr>
          <w:rFonts w:ascii="微软雅黑" w:hAnsi="微软雅黑" w:eastAsia="微软雅黑"/>
          <w:b w:val="0"/>
          <w:i w:val="0"/>
          <w:sz w:val="22"/>
        </w:rPr>
        <w:t>After 9 months of oral targeted therapy, imaging indicates systemic disease progression. The plan is to switch to intravenous systemic therapy. There is no prior history of chemotherapy. The attending physician reports that the patient has previously been “particularly afraid of nausea and vomiting.” As the clinical pharmacist, please provide pharmacotherapy recommendations for the subsequent treatment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Documentation. Based on the clinical decisions from Task 1, produce documentation that can be directly implemented.</w:t>
        <w:br/>
        <w:br/>
        <w:t>Requirements: Any medications mentioned in the documentation must use the full names and specifications as listed in inventory. Medications not in inventory must be labeled in the documentation as “requires external purchase/temporary compounding,” and the acquisition process must be described.</w:t>
      </w:r>
    </w:p>
    <w:p>
      <w:pPr>
        <w:spacing w:before="120" w:after="80" w:line="336" w:lineRule="auto"/>
      </w:pPr>
      <w:r>
        <w:rPr>
          <w:rFonts w:ascii="微软雅黑" w:hAnsi="微软雅黑" w:eastAsia="微软雅黑"/>
          <w:b/>
          <w:i w:val="0"/>
          <w:color w:val="7D6608"/>
          <w:sz w:val="20"/>
        </w:rPr>
        <w:t>Document Type: Chemotherapy Regimen Verification Checklist</w:t>
      </w:r>
    </w:p>
    <w:p>
      <w:pPr>
        <w:spacing w:before="80" w:after="120" w:line="408" w:lineRule="auto"/>
        <w:ind w:left="227" w:right="227"/>
        <w:shd w:fill="FEF9E7" w:val="clear"/>
      </w:pPr>
      <w:r>
        <w:rPr>
          <w:rFonts w:ascii="微软雅黑" w:hAnsi="微软雅黑" w:eastAsia="微软雅黑"/>
          <w:b w:val="0"/>
          <w:i w:val="0"/>
          <w:sz w:val="22"/>
        </w:rPr>
        <w:t>Based on this patient’s later-line platinum-containing doublet chemotherapy strategy, please prepare an implementation document for use by an inpatient pharmacist for prescription/medical order verification and pre-administration checks, which can be directly used for actual medication dispensing and medication handoff in our hospital.</w:t>
      </w:r>
    </w:p>
    <w:p>
      <w:pPr>
        <w:spacing w:before="80" w:after="40" w:line="336" w:lineRule="auto"/>
      </w:pPr>
      <w:r>
        <w:rPr>
          <w:rFonts w:ascii="微软雅黑" w:hAnsi="微软雅黑" w:eastAsia="微软雅黑"/>
          <w:b w:val="0"/>
          <w:i w:val="0"/>
          <w:color w:val="AAAAAA"/>
          <w:sz w:val="16"/>
        </w:rPr>
        <w:t>Response Section (Task 2 Written Document;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