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E67E22"/>
          <w:sz w:val="32"/>
        </w:rPr>
        <w:t>Hematology — Anticoagulation Management</w:t>
      </w:r>
    </w:p>
    <w:p>
      <w:pPr>
        <w:spacing w:before="0" w:after="40" w:line="336" w:lineRule="auto"/>
      </w:pPr>
      <w:r>
        <w:rPr>
          <w:rFonts w:ascii="微软雅黑" w:hAnsi="微软雅黑" w:eastAsia="微软雅黑"/>
          <w:b w:val="0"/>
          <w:i w:val="0"/>
          <w:color w:val="999999"/>
          <w:sz w:val="18"/>
        </w:rPr>
        <w:t>Scenario ID: hema_014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66</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70</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112</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60</w:t>
            </w:r>
          </w:p>
        </w:tc>
        <w:tc>
          <w:tcPr>
            <w:tcW w:type="dxa" w:w="1063"/>
            <w:shd w:fill="ECF0F1" w:val="clear"/>
          </w:tcPr>
          <w:p>
            <w:r/>
            <w:r>
              <w:rPr>
                <w:rFonts w:ascii="微软雅黑" w:hAnsi="微软雅黑" w:eastAsia="微软雅黑"/>
                <w:b/>
                <w:i w:val="0"/>
                <w:color w:val="7F8C8D"/>
                <w:sz w:val="16"/>
              </w:rPr>
              <w:t>PLT(×10⁹/L)</w:t>
            </w:r>
          </w:p>
        </w:tc>
        <w:tc>
          <w:tcPr>
            <w:tcW w:type="dxa" w:w="1063"/>
          </w:tcPr>
          <w:p>
            <w:r/>
            <w:r>
              <w:rPr>
                <w:rFonts w:ascii="微软雅黑" w:hAnsi="微软雅黑" w:eastAsia="微软雅黑"/>
                <w:b/>
                <w:i w:val="0"/>
                <w:sz w:val="18"/>
              </w:rPr>
              <w:t>174</w:t>
            </w:r>
          </w:p>
        </w:tc>
        <w:tc>
          <w:tcPr>
            <w:tcW w:type="dxa" w:w="1063"/>
            <w:shd w:fill="ECF0F1" w:val="clear"/>
          </w:tcPr>
          <w:p>
            <w:r/>
            <w:r>
              <w:rPr>
                <w:rFonts w:ascii="微软雅黑" w:hAnsi="微软雅黑" w:eastAsia="微软雅黑"/>
                <w:b/>
                <w:i w:val="0"/>
                <w:color w:val="7F8C8D"/>
                <w:sz w:val="16"/>
              </w:rPr>
              <w:t>HGB(g/L)</w:t>
            </w:r>
          </w:p>
        </w:tc>
        <w:tc>
          <w:tcPr>
            <w:tcW w:type="dxa" w:w="1063"/>
          </w:tcPr>
          <w:p>
            <w:r/>
            <w:r>
              <w:rPr>
                <w:rFonts w:ascii="微软雅黑" w:hAnsi="微软雅黑" w:eastAsia="微软雅黑"/>
                <w:b/>
                <w:i w:val="0"/>
                <w:sz w:val="18"/>
              </w:rPr>
              <w:t>110</w:t>
            </w:r>
          </w:p>
        </w:tc>
        <w:tc>
          <w:tcPr>
            <w:tcW w:type="dxa" w:w="1063"/>
            <w:shd w:fill="ECF0F1" w:val="clear"/>
          </w:tcPr>
          <w:p>
            <w:r>
              <w:t>Diagnosis</w:t>
            </w:r>
            <w:r>
              <w:rPr>
                <w:rFonts w:ascii="微软雅黑" w:hAnsi="微软雅黑" w:eastAsia="微软雅黑"/>
                <w:b/>
                <w:i w:val="0"/>
                <w:color w:val="7F8C8D"/>
                <w:sz w:val="16"/>
              </w:rPr>
            </w:r>
          </w:p>
        </w:tc>
        <w:tc>
          <w:tcPr>
            <w:tcW w:type="dxa" w:w="1063"/>
          </w:tcPr>
          <w:p>
            <w:r>
              <w:t>Acute leukemia is associated with a high risk of pulmonary embolism (PE).</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Comprehensive clinical pharmacy assessment. Please complete the following comprehensive assessment items in conjunction with this hospital’s medication inventory.</w:t>
        <w:br/>
        <w:br/>
        <w:t>Requirements: Recommended medications must use the full medication name and specification available in the inventory. If a non-inventory medication is required, it must be clearly labeled “This medication is not listed in this hospital’s inventory and requires external purchase/temporary compounding,” and an in-inventory alternative plan or the acquisition process must be provided.</w:t>
      </w:r>
    </w:p>
    <w:p/>
    <w:p>
      <w:pPr>
        <w:pStyle w:val="Heading3"/>
      </w:pPr>
      <w:r>
        <w:rPr>
          <w:color w:val="2980B9"/>
        </w:rPr>
        <w:t>Q1 Development of an inpatient anticoagulant prophylaxis regimen for patients at high risk of VTE/PE</w:t>
      </w:r>
    </w:p>
    <w:p>
      <w:pPr>
        <w:spacing w:before="80" w:after="120" w:line="408" w:lineRule="auto"/>
        <w:ind w:left="227" w:right="227"/>
        <w:shd w:fill="EBF5FB" w:val="clear"/>
      </w:pPr>
      <w:r>
        <w:rPr>
          <w:rFonts w:ascii="微软雅黑" w:hAnsi="微软雅黑" w:eastAsia="微软雅黑"/>
          <w:b w:val="0"/>
          <w:i w:val="0"/>
          <w:sz w:val="22"/>
        </w:rPr>
        <w:t>A 66-year-old male with acute leukemia is hospitalized for treatment and has been assessed as high risk for PE. Current values: PLT 174×10^9/L, HGB 110 g/L, Scr 112 μmol/L, eGFR 60 mL/min/1.73 m², body weight 70 kg. The attending physician plans to provide inpatient thromboprophylaxis but is concerned about subsequent chemotherapy-related thrombocytopenia and bleeding risk. As a clinical pharmacist, please provide pharmacotherapy recommendations for inpatient thromboprophylaxis.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Thrombocytopenia and Bleeding Signals During Implementation of Anticoagulant Prophylaxis</w:t>
      </w:r>
    </w:p>
    <w:p>
      <w:pPr>
        <w:spacing w:before="80" w:after="120" w:line="408" w:lineRule="auto"/>
        <w:ind w:left="227" w:right="227"/>
        <w:shd w:fill="EBF5FB" w:val="clear"/>
      </w:pPr>
      <w:r>
        <w:rPr>
          <w:rFonts w:ascii="微软雅黑" w:hAnsi="微软雅黑" w:eastAsia="微软雅黑"/>
          <w:b w:val="0"/>
          <w:i w:val="0"/>
          <w:sz w:val="22"/>
        </w:rPr>
        <w:t>After admission, the patient was started on thromboprophylaxis. On re-evaluation on day 7 of treatment: PLT 38×10^9/L, HGB decreased from 110 g/L to 92 g/L. The patient reported easy bleeding when brushing teeth and developed subcutaneous ecchymoses. Renal function was basically stable. The attending physician requests that you, as a clinical pharmacist, provide recommendations on management of the current medications and subsequent strategy.</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Therapeutic anticoagulation regimens and management of drug interactions after confirmed or strongly suspected VTE</w:t>
      </w:r>
    </w:p>
    <w:p>
      <w:pPr>
        <w:spacing w:before="80" w:after="120" w:line="408" w:lineRule="auto"/>
        <w:ind w:left="227" w:right="227"/>
        <w:shd w:fill="EBF5FB" w:val="clear"/>
      </w:pPr>
      <w:r>
        <w:rPr>
          <w:rFonts w:ascii="微软雅黑" w:hAnsi="微软雅黑" w:eastAsia="微软雅黑"/>
          <w:b w:val="0"/>
          <w:i w:val="0"/>
          <w:sz w:val="22"/>
        </w:rPr>
        <w:t>After pharmacologic prophylaxis was withheld and mechanical prophylaxis was implemented, on day 12 the patient suddenly developed chest tightness and dyspnea, and CTPA indicated acute pulmonary embolism. Current PLT is 62×10^9/L, HGB 95 g/L, and eGFR 60 mL/min/1.73m². The attending physician plans to initiate anticoagulation immediately, and the patient may subsequently require antibacterial and antifungal therapy. As a clinical pharmacist, please provide recommendations for subsequent antithrombotic therapy.</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Based on the clinical decision-making in Task 1, generate directly actionable documentation.</w:t>
        <w:br/>
        <w:br/>
        <w:t>Requirements: Any medications referenced in the document must use the full in-stock name and specification. Any medications not in inventory must be labeled in the document as “requires external purchase/temporary compounding” and the acquisition process must be described.</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Please develop a “full-course pharmaceutical monitoring implementation document for anticoagulation prophylaxis/therapy” for this hospitalized patient with acute leukemia (high risk of VTE/PE, with dynamically changing platelet counts and bleeding risk). The document should be directly usable by the clinical and nursing teams for execution and handoff under different scenarios (prophylaxis phase; thrombocytopenia with bleeding; confirmed/highly suspected PE requiring therapeutic anticoagulation).</w:t>
      </w:r>
    </w:p>
    <w:p>
      <w:pPr>
        <w:spacing w:before="80" w:after="40" w:line="336" w:lineRule="auto"/>
      </w:pPr>
      <w:r>
        <w:rPr>
          <w:rFonts w:ascii="微软雅黑" w:hAnsi="微软雅黑" w:eastAsia="微软雅黑"/>
          <w:b w:val="0"/>
          <w:i w:val="0"/>
          <w:color w:val="AAAAAA"/>
          <w:sz w:val="16"/>
        </w:rPr>
        <w:t>Answer Section (Task 2 Written Document;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