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F39C12"/>
          <w:sz w:val="32"/>
        </w:rPr>
        <w:t>Nephrology — CKD-MBD Management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nephro_012 · Task 1 × 3 questions + Task 2 ×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36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64</w:t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</w:t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Dialysis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Yes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iPTH(pg/mL)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200</w:t>
            </w:r>
          </w:p>
        </w:tc>
        <w:tc>
          <w:tcPr>
            <w:tcW w:type="dxa" w:w="1063"/>
            <w:shd w:fill="ECF0F1" w:val="clear"/>
          </w:tcPr>
          <w:p>
            <w:r>
              <w:t>Serum calcium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2.0</w:t>
            </w:r>
          </w:p>
        </w:tc>
        <w:tc>
          <w:tcPr>
            <w:tcW w:type="dxa" w:w="1063"/>
            <w:shd w:fill="ECF0F1" w:val="clear"/>
          </w:tcPr>
          <w:p>
            <w:r>
              <w:t>Serum phosphorus (mmol/L)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1.5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25-OHD(ng/mL)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14</w:t>
            </w:r>
          </w:p>
        </w:tc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CKD G5-MBD（iPTH 200 pg/mL）</w:t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assessment, please complete the following comprehensive assessment questions in conjunction with this hospital’s drug inventory.</w:t>
        <w:br/>
        <w:br/>
        <w:t>Requirements: Recommended medications must be written using the full drug name and specification available in the inventory. If a medication not included in the inventory is required, it must be clearly labeled as “This hospital’s inventory does not list this drug; external purchase/temporary compounding is required,” and an in-inventory alternative plan or an acquisition process must be provided.</w:t>
      </w:r>
    </w:p>
    <w:p/>
    <w:p>
      <w:pPr>
        <w:pStyle w:val="Heading3"/>
      </w:pPr>
      <w:r>
        <w:rPr>
          <w:color w:val="2980B9"/>
        </w:rPr>
        <w:t>Q1  Development of an initial comprehensive management plan for CKD G5D–MBD (hypocalcemia + vitamin D deficiency + mild hyperphosphatemia/secondary hyperparathyroidism)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36-year-old woman with an eGFR of 7 mL/min/1.73 m² is on regular dialysis. Current diagnosis: CKD G5-MBD. iPTH 200 pg/mL, serum calcium 2.0 mmol/L, serum phosphate 1.5 mmol/L, 25-OHD 14 ng/mL. The attending physician asks you, as a clinical pharmacist, to provide recommendations on the overall pharmacologic management and follow-up strategy for her CKD-MBD.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Adjustment of the treatment plan and emergency management for hypocalcemia-related discomfort during treatment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being treated according to the dialysis-stage CKD-MBD protocol and followed up for 2 weeks, the patient developed perioral numbness and tingling in the hands and feet. Repeat testing showed serum calcium 1.85 mmol/L, serum phosphorus 1.2 mmol/L, and iPTH 120 pg/mL. The attending physician asks you, as a clinical pharmacist, to provide recommendations regarding the current medication regimen and subsequent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Long-term treatment escalation for progressively elevated PTH during follow-up of CKD G5D-MBD (planned optimization of calcimimetics/active vitamin D/phosphate binders)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After continuing dialysis therapy for 3 months, the patient’s serum calcium was 2.25 mmol/L, serum phosphorus was 1.9 mmol/L, and iPTH was 780 pg/mL, showing an upward trend over the last two follow-up tests. The attending physician asks you, as the clinical pharmacist, to provide recommendations on subsequent pharmacologic interventions and long-term follow-up.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Area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Documentation. Please generate directly actionable documentation based on the clinical decisions from Task 1.</w:t>
        <w:br/>
        <w:br/>
        <w:t>Requirements: Any medications referenced in the document must use the full in-stock name and specification; any medications not in stock must be labeled “requires external purchase/temporary compounding” in the document and the acquisition process must be described.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Pharmaceutical Care Plan Form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Please, based on the established therapeutic approach for this dialysis-dependent CKD G5D-MBD patient (correcting vitamin D deficiency and the risk of hypocalcemia, balancing phosphate control with PTH trend management, and including both “emergency management and medication adjustments in the event of symptomatic hypocalcemia” and “a long-term escalation strategy when PTH rises progressively”), develop a pharmaceutical monitoring document that can be directly implemented by the healthcare team.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2 Documents: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