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E44AD"/>
          <w:sz w:val="32"/>
        </w:rPr>
        <w:t>Oncology · Solid Tumors — Immune Checkpoint Inhibitor–Related Adverse Events</w:t>
      </w:r>
    </w:p>
    <w:p>
      <w:pPr>
        <w:spacing w:before="0" w:after="40" w:line="336" w:lineRule="auto"/>
      </w:pPr>
      <w:r>
        <w:rPr>
          <w:rFonts w:ascii="微软雅黑" w:hAnsi="微软雅黑" w:eastAsia="微软雅黑"/>
          <w:b w:val="0"/>
          <w:i w:val="0"/>
          <w:color w:val="999999"/>
          <w:sz w:val="18"/>
        </w:rPr>
        <w:t>Scenario ID: onco_013 · Task 1 × 3 questions + Task 2 × 1 question · Total: 16 points</w:t>
      </w:r>
    </w:p>
    <w:p>
      <w:pPr>
        <w:spacing w:before="0" w:after="120" w:line="336" w:lineRule="auto"/>
      </w:pPr>
      <w:r>
        <w:rPr>
          <w:rFonts w:ascii="微软雅黑" w:hAnsi="微软雅黑" w:eastAsia="微软雅黑"/>
          <w:b/>
          <w:i w:val="0"/>
          <w:color w:val="E74C3C"/>
          <w:sz w:val="18"/>
        </w:rPr>
        <w:t>Please provide a complete answer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41</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53</w:t>
            </w:r>
          </w:p>
        </w:tc>
        <w:tc>
          <w:tcPr>
            <w:tcW w:type="dxa" w:w="1063"/>
            <w:shd w:fill="ECF0F1" w:val="clear"/>
          </w:tcPr>
          <w:p>
            <w:r>
              <w:t>Height (cm)</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171</w:t>
            </w:r>
          </w:p>
        </w:tc>
      </w:tr>
      <w:tr>
        <w:tc>
          <w:tcPr>
            <w:tcW w:type="dxa" w:w="1063"/>
            <w:shd w:fill="ECF0F1" w:val="clear"/>
          </w:tcPr>
          <w:p>
            <w:r/>
            <w:r>
              <w:rPr>
                <w:rFonts w:ascii="微软雅黑" w:hAnsi="微软雅黑" w:eastAsia="微软雅黑"/>
                <w:b/>
                <w:i w:val="0"/>
                <w:color w:val="7F8C8D"/>
                <w:sz w:val="16"/>
              </w:rPr>
              <w:t>BSA(m²)</w:t>
            </w:r>
          </w:p>
        </w:tc>
        <w:tc>
          <w:tcPr>
            <w:tcW w:type="dxa" w:w="1063"/>
          </w:tcPr>
          <w:p>
            <w:r/>
            <w:r>
              <w:rPr>
                <w:rFonts w:ascii="微软雅黑" w:hAnsi="微软雅黑" w:eastAsia="微软雅黑"/>
                <w:b/>
                <w:i w:val="0"/>
                <w:sz w:val="18"/>
              </w:rPr>
              <w:t>1.59</w:t>
            </w:r>
          </w:p>
        </w:tc>
        <w:tc>
          <w:tcPr>
            <w:tcW w:type="dxa" w:w="1063"/>
            <w:shd w:fill="ECF0F1" w:val="clear"/>
          </w:tcPr>
          <w:p>
            <w:r/>
            <w:r>
              <w:rPr>
                <w:rFonts w:ascii="微软雅黑" w:hAnsi="微软雅黑" w:eastAsia="微软雅黑"/>
                <w:b/>
                <w:i w:val="0"/>
                <w:color w:val="7F8C8D"/>
                <w:sz w:val="16"/>
              </w:rPr>
              <w:t>ECOG</w:t>
            </w:r>
          </w:p>
        </w:tc>
        <w:tc>
          <w:tcPr>
            <w:tcW w:type="dxa" w:w="1063"/>
          </w:tcPr>
          <w:p>
            <w:r/>
            <w:r>
              <w:rPr>
                <w:rFonts w:ascii="微软雅黑" w:hAnsi="微软雅黑" w:eastAsia="微软雅黑"/>
                <w:b/>
                <w:i w:val="0"/>
                <w:sz w:val="18"/>
              </w:rPr>
              <w:t>1</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78</w:t>
            </w:r>
          </w:p>
        </w:tc>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75</w:t>
            </w:r>
          </w:p>
        </w:tc>
      </w:tr>
      <w:tr>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58</w:t>
            </w:r>
          </w:p>
        </w:tc>
        <w:tc>
          <w:tcPr>
            <w:tcW w:type="dxa" w:w="1063"/>
            <w:shd w:fill="ECF0F1" w:val="clear"/>
          </w:tcPr>
          <w:p>
            <w:r>
              <w:t>Diagnosis</w:t>
            </w:r>
            <w:r>
              <w:rPr>
                <w:rFonts w:ascii="微软雅黑" w:hAnsi="微软雅黑" w:eastAsia="微软雅黑"/>
                <w:b/>
                <w:i w:val="0"/>
                <w:color w:val="7F8C8D"/>
                <w:sz w:val="16"/>
              </w:rPr>
            </w:r>
          </w:p>
        </w:tc>
        <w:tc>
          <w:tcPr>
            <w:tcW w:type="dxa" w:w="1063"/>
          </w:tcPr>
          <w:p>
            <w:r>
              <w:t>Advanced gastric cancer (nivolumab + chemotherapy, after cycle 4)</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and in conjunction with this hospital’s drug inventory, complete the following comprehensive assessment task.</w:t>
        <w:br/>
        <w:br/>
        <w:t>Requirements: Recommended medications must use the complete drug name and specification as listed in the inventory. If a medication outside the inventory is required, it must be clearly labeled “This medication is not listed in this hospital’s inventory and requires external purchase/temporary compounding,” and an in-inventory alternative plan or an acquisition process must be provided.</w:t>
      </w:r>
    </w:p>
    <w:p/>
    <w:p>
      <w:pPr>
        <w:pStyle w:val="Heading3"/>
      </w:pPr>
      <w:r>
        <w:rPr>
          <w:color w:val="2980B9"/>
        </w:rPr>
        <w:t>Q1 Differential diagnosis and management of immune therapy–related liver injury (irAE) / decision-making regarding treatment continuation</w:t>
      </w:r>
    </w:p>
    <w:p>
      <w:pPr>
        <w:spacing w:before="80" w:after="120" w:line="408" w:lineRule="auto"/>
        <w:ind w:left="227" w:right="227"/>
        <w:shd w:fill="EBF5FB" w:val="clear"/>
      </w:pPr>
      <w:r>
        <w:rPr>
          <w:rFonts w:ascii="微软雅黑" w:hAnsi="微软雅黑" w:eastAsia="微软雅黑"/>
          <w:b w:val="0"/>
          <w:i w:val="0"/>
          <w:sz w:val="22"/>
        </w:rPr>
        <w:t>A 41-year-old woman with advanced gastric cancer underwent re-evaluation after completing the 4th cycle of nivolumab combined with chemotherapy. Over the past week she has experienced fatigue and poor appetite, without fever. Laboratory tests showed ALT 58 U/L (increased compared with prior), creatinine 78 μmol/L, and eGFR 75 mL/min/1.73 m². The attending physician plans to proceed with the next cycle as scheduled and asks you, as a clinical pharmacist, to provide medication recommendations and a follow-up plan.</w:t>
      </w:r>
    </w:p>
    <w:p>
      <w:pPr>
        <w:spacing w:before="80" w:after="40" w:line="336" w:lineRule="auto"/>
      </w:pPr>
      <w:r>
        <w:rPr>
          <w:rFonts w:ascii="微软雅黑" w:hAnsi="微软雅黑" w:eastAsia="微软雅黑"/>
          <w:b w:val="0"/>
          <w:i w:val="0"/>
          <w:color w:val="AAAAAA"/>
          <w:sz w:val="16"/>
        </w:rPr>
        <w:t>▸ 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Chemotherapy-Induced Nausea and Vomiting (CINV) and Optimization of Rescue Antiemetic Regimens (Including Drug Interactions/Organ Function)</w:t>
      </w:r>
    </w:p>
    <w:p>
      <w:pPr>
        <w:spacing w:before="80" w:after="120" w:line="408" w:lineRule="auto"/>
        <w:ind w:left="227" w:right="227"/>
        <w:shd w:fill="EBF5FB" w:val="clear"/>
      </w:pPr>
      <w:r>
        <w:rPr>
          <w:rFonts w:ascii="微软雅黑" w:hAnsi="微软雅黑" w:eastAsia="微软雅黑"/>
          <w:b w:val="0"/>
          <w:i w:val="0"/>
          <w:sz w:val="22"/>
        </w:rPr>
        <w:t>During continuation of the next cycle of therapy, the patient developed marked nausea and vomiting within 24 hours after chemotherapy, with difficulty eating and recurrent vomiting at night. Current vital signs are stable; eGFR is 75 mL/min/1.73 m², and ALT remains mildly elevated. The attending physician asks you, as a clinical pharmacist, to provide recommendations for subsequent antiemetic management and related medication use.</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Graded Management and Immunosuppressive Treatment Pathway for Suspected Immune-Related Colitis/Diarrhea</w:t>
      </w:r>
    </w:p>
    <w:p>
      <w:pPr>
        <w:spacing w:before="80" w:after="120" w:line="408" w:lineRule="auto"/>
        <w:ind w:left="227" w:right="227"/>
        <w:shd w:fill="EBF5FB" w:val="clear"/>
      </w:pPr>
      <w:r>
        <w:rPr>
          <w:rFonts w:ascii="微软雅黑" w:hAnsi="微软雅黑" w:eastAsia="微软雅黑"/>
          <w:b w:val="0"/>
          <w:i w:val="0"/>
          <w:sz w:val="22"/>
        </w:rPr>
        <w:t>On day 10 after the current treatment cycle, the patient developed markedly worsened diarrhea compared with previously, with 6–8 episodes of watery stool per day, accompanied by mild abdominal pain and no significant fever. Repeat testing showed serum creatinine 78 μmol/L, eGFR 75 mL/min/1.73 m², and liver enzymes remained mildly elevated. The attending physician is concerned that this may be related to prior immunotherapy; please provide management recommendations in your role as a clinical pharmacist.</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execution document. Please produce a directly implementable document based on the clinical decisions from Task 1.</w:t>
        <w:br/>
        <w:br/>
        <w:t>Requirements: Any medications mentioned in the document must use the full name and specification as listed in the inventory. Any medications not in inventory must be labeled “requires external purchase/temporary compounding” in the document, and the procurement process must be described.</w:t>
      </w:r>
    </w:p>
    <w:p>
      <w:pPr>
        <w:spacing w:before="120" w:after="80" w:line="336" w:lineRule="auto"/>
      </w:pPr>
      <w:r>
        <w:rPr>
          <w:rFonts w:ascii="微软雅黑" w:hAnsi="微软雅黑" w:eastAsia="微软雅黑"/>
          <w:b/>
          <w:i w:val="0"/>
          <w:color w:val="7D6608"/>
          <w:sz w:val="20"/>
        </w:rPr>
        <w:t>Document Type: Immunosuppressive Regimen Monitoring Matrix</w:t>
      </w:r>
    </w:p>
    <w:p>
      <w:pPr>
        <w:spacing w:before="80" w:after="120" w:line="408" w:lineRule="auto"/>
        <w:ind w:left="227" w:right="227"/>
        <w:shd w:fill="FEF9E7" w:val="clear"/>
      </w:pPr>
      <w:r>
        <w:rPr>
          <w:rFonts w:ascii="微软雅黑" w:hAnsi="微软雅黑" w:eastAsia="微软雅黑"/>
          <w:b w:val="0"/>
          <w:i w:val="0"/>
          <w:sz w:val="22"/>
        </w:rPr>
        <w:t>Please develop an “Immune-Related Toxicity Management and Immunosuppressive Medication Administration Record” for the ward team based on this patient’s current elevation of liver enzymes and the suspected risk of immune-related diarrhea/colitis after receiving nivolumab combined with chemotherapy. The document should be suitable for direct use in coordinated physician–nurse implementation and handover.</w:t>
      </w:r>
    </w:p>
    <w:p>
      <w:pPr>
        <w:spacing w:before="80" w:after="40" w:line="336" w:lineRule="auto"/>
      </w:pPr>
      <w:r>
        <w:rPr>
          <w:rFonts w:ascii="微软雅黑" w:hAnsi="微软雅黑" w:eastAsia="微软雅黑"/>
          <w:b w:val="0"/>
          <w:i w:val="0"/>
          <w:color w:val="AAAAAA"/>
          <w:sz w:val="16"/>
        </w:rPr>
        <w:t>Answer Section (Task 2 Documentation;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