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E67E22"/>
          <w:sz w:val="32"/>
        </w:rPr>
        <w:t>Hematology — Chemotherapy Regimen Management</w:t>
      </w:r>
    </w:p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Scenario ID: hema_009 · Task 1: 3 questions + Task 2: 1 question · Total: 16 points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i w:val="0"/>
          <w:color w:val="E74C3C"/>
          <w:sz w:val="18"/>
        </w:rPr>
        <w:t>Please provide complete answers in the [Answer Area] for each question.</w:t>
      </w:r>
    </w:p>
    <w:p>
      <w:pPr>
        <w:spacing w:before="80" w:after="120" w:line="336" w:lineRule="auto"/>
      </w:pPr>
      <w:r>
        <w:rPr>
          <w:rFonts w:ascii="微软雅黑" w:hAnsi="微软雅黑" w:eastAsia="微软雅黑"/>
          <w:b/>
          <w:i w:val="0"/>
          <w:color w:val="16A085"/>
          <w:sz w:val="20"/>
        </w:rPr>
        <w:t>Basic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fill="ECF0F1" w:val="clear"/>
          </w:tcPr>
          <w:p>
            <w:r>
              <w:t>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72</w:t>
            </w:r>
          </w:p>
        </w:tc>
        <w:tc>
          <w:tcPr>
            <w:tcW w:type="dxa" w:w="1063"/>
            <w:shd w:fill="ECF0F1" w:val="clear"/>
          </w:tcPr>
          <w:p>
            <w:r>
              <w:t>Sex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Female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Weight (kg)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83</w:t>
            </w:r>
          </w:p>
        </w:tc>
        <w:tc>
          <w:tcPr>
            <w:tcW w:type="dxa" w:w="1063"/>
            <w:shd w:fill="ECF0F1" w:val="clear"/>
          </w:tcPr>
          <w:p>
            <w:r>
              <w:t>Height (cm)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155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BSA(m²)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1.89</w:t>
            </w:r>
          </w:p>
        </w:tc>
        <w:tc>
          <w:tcPr>
            <w:tcW w:type="dxa" w:w="1063"/>
            <w:shd w:fill="ECF0F1" w:val="clear"/>
          </w:tcPr>
          <w:p>
            <w:r>
              <w:t>ECOG performance status score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</w:t>
            </w:r>
          </w:p>
        </w:tc>
        <w:tc>
          <w:tcPr>
            <w:tcW w:type="dxa" w:w="1063"/>
            <w:shd w:fill="ECF0F1" w:val="clear"/>
          </w:tcPr>
          <w:p>
            <w:r>
              <w:t>Creatinine (μmol/L)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154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eGFR(mL/min/1.73m²)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31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ALT(U/L)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67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AST(U/L)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19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WBC(×10⁹/L)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1.38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HGB(g/L)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76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PLT(×10⁹/L)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67</w:t>
            </w:r>
          </w:p>
        </w:tc>
        <w:tc>
          <w:tcPr>
            <w:tcW w:type="dxa" w:w="1063"/>
            <w:shd w:fill="ECF0F1" w:val="clear"/>
          </w:tcPr>
          <w:p>
            <w:r>
              <w:t>Diagnosis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Acute Myeloid Leukemia (AML)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</w:tr>
    </w:tbl>
    <w:p/>
    <w:p>
      <w:pPr>
        <w:pStyle w:val="Heading2"/>
      </w:pPr>
      <w:r>
        <w:rPr>
          <w:color w:val="2980B9"/>
        </w:rPr>
        <w:t>Task 1: Comprehensive Clinical Pharmacy Assessment (12 points)</w:t>
      </w:r>
    </w:p>
    <w:p>
      <w:pPr>
        <w:spacing w:before="120" w:after="120" w:line="360" w:lineRule="auto"/>
        <w:ind w:left="170" w:right="170"/>
        <w:shd w:fill="EAF2FF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1: Based on a comprehensive clinical pharmacy evaluation, please complete the following comprehensive assessment questions in conjunction with the medications currently in stock at our hospital.</w:t>
        <w:br/>
        <w:br/>
        <w:t>Requirements: Recommended medications must use the full medication name and specification as listed in the hospital inventory. If a medication not included in the hospital inventory is required, clearly indicate: “This medication is not listed in our hospital inventory and must be purchased externally/temporarily compounded,” and provide an in-inventory alternative plan or the procurement/obtaining process.</w:t>
      </w:r>
    </w:p>
    <w:p/>
    <w:p>
      <w:pPr>
        <w:pStyle w:val="Heading3"/>
      </w:pPr>
      <w:r>
        <w:rPr>
          <w:color w:val="2980B9"/>
        </w:rPr>
        <w:t>Q1  Infection Prophylaxis and Development of Empiric Anti-infective Regimens Prior to AML Induction Therapy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 72-year-old woman with AML, ECOG 2, admitted with a plan to start induction therapy. Current WBC 1.38×10^9/L, HGB 76 g/L, PLT 67×10^9/L; Scr 154 μmol/L, eGFR 31 mL/min/1.73 m²; ALT 67 U/L. The attending physician is concerned about severe neutropenia-related infection after treatment and asks how to provide anti-infective prophylaxis and what empiric therapy to use once fever occurs; please provide recommendations as a clinical pharmacist.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1: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8E44AD"/>
        </w:rPr>
        <w:t>Q2 Treatment plan adjustment for fever during AML treatment–related neutropenia with concomitant fluctuations in hepatic and renal function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On day 7 after initiation of induction therapy, the patient developed chills and fever to 39.0°C, with stable blood pressure. Repeat tests showed: WBC 0.4×10^9/L, PLT 28×10^9/L, Scr 198 μmol/L (increased compared with before), ALT 152 U/L. A broad-spectrum intravenous antimicrobial available in the hospital was started immediately after the onset of fever; the temperature remains intermittently elevated and mild diarrhea has developed. The attending physician asks you, as a clinical pharmacist, to provide recommendations for adjusting the current medication regimen.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Area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27AE60"/>
        </w:rPr>
        <w:t>Q3 Treatment Options and Individualization for Suspected Invasive Fungal Infection Under Drug–Drug Interactions and Organ Function Limitations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On day 14 of induction therapy, the patient remains in severe neutropenia and has developed a dry cough and chest tightness. Chest CT suggests scattered nodules with a possible “halo sign.” Current ALT is 210 U/L and Scr is 176 μmol/L. The attending physician plans to escalate antifungal therapy and requests your pharmacotherapy recommendations for the subsequent medication regimen.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D4AC0D"/>
        </w:rPr>
        <w:t>Task 2: Clinical Implementation Documentation (4 points)</w:t>
      </w:r>
    </w:p>
    <w:p>
      <w:pPr>
        <w:spacing w:before="120" w:after="120" w:line="360" w:lineRule="auto"/>
        <w:ind w:left="170" w:right="170"/>
        <w:shd w:fill="FEF9E7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2: Clinical implementation documentation. Please generate directly actionable documentation based on the clinical decision-making in Task 1.</w:t>
        <w:br/>
        <w:br/>
        <w:t>Requirements: Any medications mentioned in the document must use the full in-inventory name and specification. For medications not in inventory, label them in the document as “requires external purchase/temporary compounding” and describe the procurement process.</w:t>
      </w:r>
    </w:p>
    <w:p>
      <w:pPr>
        <w:spacing w:before="120" w:after="80" w:line="336" w:lineRule="auto"/>
      </w:pPr>
      <w:r>
        <w:rPr>
          <w:rFonts w:ascii="微软雅黑" w:hAnsi="微软雅黑" w:eastAsia="微软雅黑"/>
          <w:b/>
          <w:i w:val="0"/>
          <w:color w:val="7D6608"/>
          <w:sz w:val="20"/>
        </w:rPr>
        <w:t>Document Type: Infection-Related Medication Administration and Adjustment Decision Form</w:t>
      </w:r>
    </w:p>
    <w:p>
      <w:pPr>
        <w:spacing w:before="80" w:after="120" w:line="408" w:lineRule="auto"/>
        <w:ind w:left="227" w:right="227"/>
        <w:shd w:fill="FEF9E7" w:val="clear"/>
      </w:pPr>
      <w:r>
        <w:rPr>
          <w:rFonts w:ascii="微软雅黑" w:hAnsi="微软雅黑" w:eastAsia="微软雅黑"/>
          <w:b w:val="0"/>
          <w:i w:val="0"/>
          <w:sz w:val="22"/>
        </w:rPr>
        <w:t>Please create an immediately actionable clinical medication decision document for the ward physicians and nursing team, based on this AML patient’s decision-making before and after induction therapy regarding: “infection prophylaxis, empiric treatment for febrile neutropenia, regimen adjustments during fluctuations in hepatic/renal function, and treatment options when invasive fungal infection is suspected.” The document should be suitable for issuing medical orders, verifying medication administration, and continuous monitoring/adjustment.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2 Written Document; please complete the entire 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17600" w:hRule="exact"/>
        </w:trPr>
        <w:tc>
          <w:tcPr>
            <w:tcW w:type="dxa" w:w="8504"/>
            <w:shd w:fill="FFFEF5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>Cross-Specialty Probe v2 — 临床药学综合评估试卷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