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E67E22"/>
          <w:sz w:val="32"/>
        </w:rPr>
        <w:t>Hematology — Targeted Therapy Monitoring</w:t>
      </w:r>
    </w:p>
    <w:p>
      <w:pPr>
        <w:spacing w:before="0" w:after="40" w:line="336" w:lineRule="auto"/>
      </w:pPr>
      <w:r>
        <w:rPr>
          <w:rFonts w:ascii="微软雅黑" w:hAnsi="微软雅黑" w:eastAsia="微软雅黑"/>
          <w:b w:val="0"/>
          <w:i w:val="0"/>
          <w:color w:val="999999"/>
          <w:sz w:val="18"/>
        </w:rPr>
        <w:t>Scenario ID: hema_006 · Task 1: 3 questions + Task 2: 1 question · Total: 16 points</w:t>
      </w:r>
    </w:p>
    <w:p>
      <w:pPr>
        <w:spacing w:before="0" w:after="120" w:line="336" w:lineRule="auto"/>
      </w:pPr>
      <w:r>
        <w:rPr>
          <w:rFonts w:ascii="微软雅黑" w:hAnsi="微软雅黑" w:eastAsia="微软雅黑"/>
          <w:b/>
          <w:i w:val="0"/>
          <w:color w:val="E74C3C"/>
          <w:sz w:val="18"/>
        </w:rPr>
        <w:t>Please provide complete answers in the [Answer Area] for each question.</w:t>
      </w:r>
    </w:p>
    <w:p>
      <w:pPr>
        <w:spacing w:before="80" w:after="120" w:line="336" w:lineRule="auto"/>
      </w:pPr>
      <w:r>
        <w:rPr>
          <w:rFonts w:ascii="微软雅黑" w:hAnsi="微软雅黑" w:eastAsia="微软雅黑"/>
          <w:b/>
          <w:i w:val="0"/>
          <w:color w:val="16A085"/>
          <w:sz w:val="20"/>
        </w:rPr>
        <w:t>Basic Patient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70</w:t>
            </w:r>
          </w:p>
        </w:tc>
        <w:tc>
          <w:tcPr>
            <w:tcW w:type="dxa" w:w="1063"/>
            <w:shd w:fill="ECF0F1" w:val="clear"/>
          </w:tcPr>
          <w:p>
            <w:r>
              <w:t>Sex</w:t>
            </w:r>
            <w:r>
              <w:rPr>
                <w:rFonts w:ascii="微软雅黑" w:hAnsi="微软雅黑" w:eastAsia="微软雅黑"/>
                <w:b/>
                <w:i w:val="0"/>
                <w:color w:val="7F8C8D"/>
                <w:sz w:val="16"/>
              </w:rPr>
            </w:r>
          </w:p>
        </w:tc>
        <w:tc>
          <w:tcPr>
            <w:tcW w:type="dxa" w:w="1063"/>
          </w:tcPr>
          <w:p>
            <w:r>
              <w:t>Female</w:t>
            </w:r>
            <w:r>
              <w:rPr>
                <w:rFonts w:ascii="微软雅黑" w:hAnsi="微软雅黑" w:eastAsia="微软雅黑"/>
                <w:b/>
                <w:i w:val="0"/>
                <w:sz w:val="18"/>
              </w:rPr>
            </w:r>
          </w:p>
        </w:tc>
        <w:tc>
          <w:tcPr>
            <w:tcW w:type="dxa" w:w="1063"/>
            <w:shd w:fill="ECF0F1" w:val="clear"/>
          </w:tcPr>
          <w:p>
            <w:r>
              <w:t>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76</w:t>
            </w:r>
          </w:p>
        </w:tc>
        <w:tc>
          <w:tcPr>
            <w:tcW w:type="dxa" w:w="1063"/>
            <w:shd w:fill="ECF0F1" w:val="clear"/>
          </w:tcPr>
          <w:p>
            <w:r/>
            <w:r>
              <w:rPr>
                <w:rFonts w:ascii="微软雅黑" w:hAnsi="微软雅黑" w:eastAsia="微软雅黑"/>
                <w:b/>
                <w:i w:val="0"/>
                <w:color w:val="7F8C8D"/>
                <w:sz w:val="16"/>
              </w:rPr>
              <w:t>BSA(m²)</w:t>
            </w:r>
          </w:p>
        </w:tc>
        <w:tc>
          <w:tcPr>
            <w:tcW w:type="dxa" w:w="1063"/>
          </w:tcPr>
          <w:p>
            <w:r/>
            <w:r>
              <w:rPr>
                <w:rFonts w:ascii="微软雅黑" w:hAnsi="微软雅黑" w:eastAsia="微软雅黑"/>
                <w:b/>
                <w:i w:val="0"/>
                <w:sz w:val="18"/>
              </w:rPr>
              <w:t>1.89</w:t>
            </w:r>
          </w:p>
        </w:tc>
      </w:tr>
      <w:tr>
        <w:tc>
          <w:tcPr>
            <w:tcW w:type="dxa" w:w="1063"/>
            <w:shd w:fill="ECF0F1" w:val="clear"/>
          </w:tcPr>
          <w:p>
            <w:r>
              <w:t>Creatinine (μmol/L)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121</w:t>
            </w:r>
          </w:p>
        </w:tc>
        <w:tc>
          <w:tcPr>
            <w:tcW w:type="dxa" w:w="1063"/>
            <w:shd w:fill="ECF0F1" w:val="clear"/>
          </w:tcPr>
          <w:p>
            <w:r/>
            <w:r>
              <w:rPr>
                <w:rFonts w:ascii="微软雅黑" w:hAnsi="微软雅黑" w:eastAsia="微软雅黑"/>
                <w:b/>
                <w:i w:val="0"/>
                <w:color w:val="7F8C8D"/>
                <w:sz w:val="16"/>
              </w:rPr>
              <w:t>eGFR(mL/min/1.73m²)</w:t>
            </w:r>
          </w:p>
        </w:tc>
        <w:tc>
          <w:tcPr>
            <w:tcW w:type="dxa" w:w="1063"/>
          </w:tcPr>
          <w:p>
            <w:r/>
            <w:r>
              <w:rPr>
                <w:rFonts w:ascii="微软雅黑" w:hAnsi="微软雅黑" w:eastAsia="微软雅黑"/>
                <w:b/>
                <w:i w:val="0"/>
                <w:sz w:val="18"/>
              </w:rPr>
              <w:t>41</w:t>
            </w:r>
          </w:p>
        </w:tc>
        <w:tc>
          <w:tcPr>
            <w:tcW w:type="dxa" w:w="1063"/>
            <w:shd w:fill="ECF0F1" w:val="clear"/>
          </w:tcPr>
          <w:p>
            <w:r/>
            <w:r>
              <w:rPr>
                <w:rFonts w:ascii="微软雅黑" w:hAnsi="微软雅黑" w:eastAsia="微软雅黑"/>
                <w:b/>
                <w:i w:val="0"/>
                <w:color w:val="7F8C8D"/>
                <w:sz w:val="16"/>
              </w:rPr>
              <w:t>ALT(U/L)</w:t>
            </w:r>
          </w:p>
        </w:tc>
        <w:tc>
          <w:tcPr>
            <w:tcW w:type="dxa" w:w="1063"/>
          </w:tcPr>
          <w:p>
            <w:r/>
            <w:r>
              <w:rPr>
                <w:rFonts w:ascii="微软雅黑" w:hAnsi="微软雅黑" w:eastAsia="微软雅黑"/>
                <w:b/>
                <w:i w:val="0"/>
                <w:sz w:val="18"/>
              </w:rPr>
              <w:t>25</w:t>
            </w:r>
          </w:p>
        </w:tc>
        <w:tc>
          <w:tcPr>
            <w:tcW w:type="dxa" w:w="1063"/>
            <w:shd w:fill="ECF0F1" w:val="clear"/>
          </w:tcPr>
          <w:p>
            <w:r/>
            <w:r>
              <w:rPr>
                <w:rFonts w:ascii="微软雅黑" w:hAnsi="微软雅黑" w:eastAsia="微软雅黑"/>
                <w:b/>
                <w:i w:val="0"/>
                <w:color w:val="7F8C8D"/>
                <w:sz w:val="16"/>
              </w:rPr>
              <w:t>AST(U/L)</w:t>
            </w:r>
          </w:p>
        </w:tc>
        <w:tc>
          <w:tcPr>
            <w:tcW w:type="dxa" w:w="1063"/>
          </w:tcPr>
          <w:p>
            <w:r/>
            <w:r>
              <w:rPr>
                <w:rFonts w:ascii="微软雅黑" w:hAnsi="微软雅黑" w:eastAsia="微软雅黑"/>
                <w:b/>
                <w:i w:val="0"/>
                <w:sz w:val="18"/>
              </w:rPr>
              <w:t>39</w:t>
            </w:r>
          </w:p>
        </w:tc>
      </w:tr>
      <w:tr>
        <w:tc>
          <w:tcPr>
            <w:tcW w:type="dxa" w:w="1063"/>
            <w:shd w:fill="ECF0F1" w:val="clear"/>
          </w:tcPr>
          <w:p>
            <w:r/>
            <w:r>
              <w:rPr>
                <w:rFonts w:ascii="微软雅黑" w:hAnsi="微软雅黑" w:eastAsia="微软雅黑"/>
                <w:b/>
                <w:i w:val="0"/>
                <w:color w:val="7F8C8D"/>
                <w:sz w:val="16"/>
              </w:rPr>
              <w:t>PLT(×10⁹/L)</w:t>
            </w:r>
          </w:p>
        </w:tc>
        <w:tc>
          <w:tcPr>
            <w:tcW w:type="dxa" w:w="1063"/>
          </w:tcPr>
          <w:p>
            <w:r/>
            <w:r>
              <w:rPr>
                <w:rFonts w:ascii="微软雅黑" w:hAnsi="微软雅黑" w:eastAsia="微软雅黑"/>
                <w:b/>
                <w:i w:val="0"/>
                <w:sz w:val="18"/>
              </w:rPr>
              <w:t>85</w:t>
            </w:r>
          </w:p>
        </w:tc>
        <w:tc>
          <w:tcPr>
            <w:tcW w:type="dxa" w:w="1063"/>
            <w:shd w:fill="ECF0F1" w:val="clear"/>
          </w:tcPr>
          <w:p>
            <w:r>
              <w:t>Current targeted therapy regimen</w:t>
            </w:r>
            <w:r>
              <w:rPr>
                <w:rFonts w:ascii="微软雅黑" w:hAnsi="微软雅黑" w:eastAsia="微软雅黑"/>
                <w:b/>
                <w:i w:val="0"/>
                <w:color w:val="7F8C8D"/>
                <w:sz w:val="16"/>
              </w:rPr>
            </w:r>
          </w:p>
        </w:tc>
        <w:tc>
          <w:tcPr>
            <w:tcW w:type="dxa" w:w="1063"/>
          </w:tcPr>
          <w:p>
            <w:r>
              <w:t>Imatinib 400 mg qd</w:t>
            </w:r>
            <w:r>
              <w:rPr>
                <w:rFonts w:ascii="微软雅黑" w:hAnsi="微软雅黑" w:eastAsia="微软雅黑"/>
                <w:b/>
                <w:i w:val="0"/>
                <w:sz w:val="18"/>
              </w:rPr>
            </w:r>
          </w:p>
        </w:tc>
        <w:tc>
          <w:tcPr>
            <w:tcW w:type="dxa" w:w="1063"/>
            <w:shd w:fill="ECF0F1" w:val="clear"/>
          </w:tcPr>
          <w:p>
            <w:r>
              <w:t>Diagnosis</w:t>
            </w:r>
            <w:r>
              <w:rPr>
                <w:rFonts w:ascii="微软雅黑" w:hAnsi="微软雅黑" w:eastAsia="微软雅黑"/>
                <w:b/>
                <w:i w:val="0"/>
                <w:color w:val="7F8C8D"/>
                <w:sz w:val="16"/>
              </w:rPr>
            </w:r>
          </w:p>
        </w:tc>
        <w:tc>
          <w:tcPr>
            <w:tcW w:type="dxa" w:w="1063"/>
          </w:tcPr>
          <w:p>
            <w:r>
              <w:t>Chronic myeloid leukemia (CML)</w:t>
            </w:r>
            <w:r>
              <w:rPr>
                <w:rFonts w:ascii="微软雅黑" w:hAnsi="微软雅黑" w:eastAsia="微软雅黑"/>
                <w:b/>
                <w:i w:val="0"/>
                <w:sz w:val="18"/>
              </w:rPr>
            </w:r>
          </w:p>
        </w:tc>
        <w:tc>
          <w:tcPr>
            <w:tcW w:type="dxa" w:w="1063"/>
          </w:tcPr>
          <w:p/>
        </w:tc>
        <w:tc>
          <w:tcPr>
            <w:tcW w:type="dxa" w:w="1063"/>
          </w:tcP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Based on a comprehensive clinical pharmacy assessment, please complete the following comprehensive assessment questions in conjunction with this hospital’s medication inventory.</w:t>
        <w:br/>
        <w:br/>
        <w:t>Requirements: Recommended medications must use the full product name and strength/specification as listed in the inventory. If a medication not included in the inventory is required, it must be clearly labeled “This medication is not listed in this hospital’s inventory and requires external purchase/temporary compounding,” and an in-inventory alternative and/or the acquisition process must be provided.</w:t>
      </w:r>
    </w:p>
    <w:p/>
    <w:p>
      <w:pPr>
        <w:pStyle w:val="Heading3"/>
      </w:pPr>
      <w:r>
        <w:rPr>
          <w:color w:val="2980B9"/>
        </w:rPr>
        <w:t>Q1  Individualized Targeted Therapy and Concomitant Medication Management in CML (Initiation/Continuation Treatment Decisions)</w:t>
      </w:r>
    </w:p>
    <w:p>
      <w:pPr>
        <w:spacing w:before="80" w:after="120" w:line="408" w:lineRule="auto"/>
        <w:ind w:left="227" w:right="227"/>
        <w:shd w:fill="EBF5FB" w:val="clear"/>
      </w:pPr>
      <w:r>
        <w:rPr>
          <w:rFonts w:ascii="微软雅黑" w:hAnsi="微软雅黑" w:eastAsia="微软雅黑"/>
          <w:b w:val="0"/>
          <w:i w:val="0"/>
          <w:sz w:val="22"/>
        </w:rPr>
        <w:t>A 70-year-old female with CML, currently on maintenance oral targeted therapy. Admission assessment: Scr 121 μmol/L, eGFR 41 mL/min/1.73 m²; ALT 25 U/L, AST 39 U/L; PLT 85×10⁹/L. The attending physician would like to continue the current targeted therapy and optimize the inpatient medication regimen. As a clinical pharmacist, please provide pharmaceutical recommendations.</w:t>
      </w:r>
    </w:p>
    <w:p>
      <w:pPr>
        <w:spacing w:before="80" w:after="40" w:line="336" w:lineRule="auto"/>
      </w:pPr>
      <w:r>
        <w:rPr>
          <w:rFonts w:ascii="微软雅黑" w:hAnsi="微软雅黑" w:eastAsia="微软雅黑"/>
          <w:b w:val="0"/>
          <w:i w:val="0"/>
          <w:color w:val="AAAAAA"/>
          <w:sz w:val="16"/>
        </w:rPr>
        <w:t>Response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Management of combination therapy with anti-infective regimens and targeted agents in the setting of risk for concomitant invasive fungal infection</w:t>
      </w:r>
    </w:p>
    <w:p>
      <w:pPr>
        <w:spacing w:before="80" w:after="120" w:line="408" w:lineRule="auto"/>
        <w:ind w:left="227" w:right="227"/>
        <w:shd w:fill="EBF5FB" w:val="clear"/>
      </w:pPr>
      <w:r>
        <w:rPr>
          <w:rFonts w:ascii="微软雅黑" w:hAnsi="微软雅黑" w:eastAsia="微软雅黑"/>
          <w:b w:val="0"/>
          <w:i w:val="0"/>
          <w:sz w:val="22"/>
        </w:rPr>
        <w:t>During treatment, the patient developed persistent fever and cough. Chest CT showed pulmonary nodular opacities. The Infectious Diseases service considered the possibility of invasive fungal infection and recommended initiating systemic antifungal therapy as soon as possible. The patient is still taking an oral targeted therapy. PLT 78×10⁹/L, AST 62 U/L, ALT 48 U/L, eGFR 41 mL/min/1.73m². The attending physician asks you, as a clinical pharmacist, to provide recommendations on a concomitant regimen combining inpatient anti-infective therapy with the original treatment.</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Medication decision-making for anticoagulation/hemostasis and thrombocytopenia in bleeding-risk scenarios</w:t>
      </w:r>
    </w:p>
    <w:p>
      <w:pPr>
        <w:spacing w:before="80" w:after="120" w:line="408" w:lineRule="auto"/>
        <w:ind w:left="227" w:right="227"/>
        <w:shd w:fill="EBF5FB" w:val="clear"/>
      </w:pPr>
      <w:r>
        <w:rPr>
          <w:rFonts w:ascii="微软雅黑" w:hAnsi="微软雅黑" w:eastAsia="微软雅黑"/>
          <w:b w:val="0"/>
          <w:i w:val="0"/>
          <w:sz w:val="22"/>
        </w:rPr>
        <w:t>On hospital day 7, the patient developed swelling and pain in the right lower limb. Ultrasound indicated deep vein thrombosis of the lower extremity. Concurrent laboratory results: PLT 52×10⁹/L, Hb 92 g/L, Scr 128 μmol/L (eGFR approximately 39 mL/min/1.73 m²), with mildly elevated liver enzymes. The attending physician plans to initiate anticoagulation therapy and seeks the pharmacist’s input; please provide pharmaceutical recommendations.</w:t>
      </w:r>
    </w:p>
    <w:p>
      <w:pPr>
        <w:spacing w:before="80" w:after="40" w:line="336" w:lineRule="auto"/>
      </w:pPr>
      <w:r>
        <w:rPr>
          <w:rFonts w:ascii="微软雅黑" w:hAnsi="微软雅黑" w:eastAsia="微软雅黑"/>
          <w:b w:val="0"/>
          <w:i w:val="0"/>
          <w:color w:val="AAAAAA"/>
          <w:sz w:val="16"/>
        </w:rPr>
        <w:t>Answer Area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Execution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 xml:space="preserve">Task 2: Clinical execution documentation. Based on the clinical decision-making in Task 1, produce documentation that can be directly implemented in clinical practice.  </w:t>
        <w:br/>
        <w:t>Requirements: Any medications mentioned in the document must use the full in-stock name and specification; any medications not in stock must be labeled in the document as “requires external purchase/temporary compounding,” and the procurement process must be described.</w:t>
      </w:r>
    </w:p>
    <w:p>
      <w:pPr>
        <w:spacing w:before="120" w:after="80" w:line="336" w:lineRule="auto"/>
      </w:pPr>
      <w:r>
        <w:rPr>
          <w:rFonts w:ascii="微软雅黑" w:hAnsi="微软雅黑" w:eastAsia="微软雅黑"/>
          <w:b/>
          <w:i w:val="0"/>
          <w:color w:val="7D6608"/>
          <w:sz w:val="20"/>
        </w:rPr>
        <w:t>Document Type: Pharmaceutical Care Plan Form</w:t>
      </w:r>
    </w:p>
    <w:p>
      <w:pPr>
        <w:spacing w:before="80" w:after="120" w:line="408" w:lineRule="auto"/>
        <w:ind w:left="227" w:right="227"/>
        <w:shd w:fill="FEF9E7" w:val="clear"/>
      </w:pPr>
      <w:r>
        <w:rPr>
          <w:rFonts w:ascii="微软雅黑" w:hAnsi="微软雅黑" w:eastAsia="微软雅黑"/>
          <w:b w:val="0"/>
          <w:i w:val="0"/>
          <w:sz w:val="22"/>
        </w:rPr>
        <w:t>Please, based on this patient’s current targeted therapy for CML, the suspected need for treatment of invasive fungal infection, and the background of thrombocytopenia with associated thrombotic/bleeding risks, develop an “inpatient pharmaceutical care monitoring document” that can be directly implemented by the clinical team to guide medication administration, key monitoring, early warning, and coordinated response/management.</w:t>
      </w:r>
    </w:p>
    <w:p>
      <w:pPr>
        <w:spacing w:before="80" w:after="40" w:line="336" w:lineRule="auto"/>
      </w:pPr>
      <w:r>
        <w:rPr>
          <w:rFonts w:ascii="微软雅黑" w:hAnsi="微软雅黑" w:eastAsia="微软雅黑"/>
          <w:b w:val="0"/>
          <w:i w:val="0"/>
          <w:color w:val="AAAAAA"/>
          <w:sz w:val="16"/>
        </w:rPr>
        <w:t>Answer Section (Task 2 form; please complete the entire form)</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