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39C12"/>
          <w:sz w:val="32"/>
        </w:rPr>
        <w:t>Nephrology — Medication Dose Adjustment in CKD</w:t>
      </w:r>
    </w:p>
    <w:p>
      <w:pPr>
        <w:spacing w:before="0" w:after="40" w:line="336" w:lineRule="auto"/>
      </w:pPr>
      <w:r>
        <w:rPr>
          <w:rFonts w:ascii="微软雅黑" w:hAnsi="微软雅黑" w:eastAsia="微软雅黑"/>
          <w:b w:val="0"/>
          <w:i w:val="0"/>
          <w:color w:val="999999"/>
          <w:sz w:val="18"/>
        </w:rPr>
        <w:t>Scenario ID: nephro_006 · Task 1: 3 questions + Task 2: 1 question · Total: 16 points</w:t>
      </w:r>
    </w:p>
    <w:p>
      <w:pPr>
        <w:spacing w:before="0" w:after="120" w:line="336" w:lineRule="auto"/>
      </w:pPr>
      <w:r>
        <w:rPr>
          <w:rFonts w:ascii="微软雅黑" w:hAnsi="微软雅黑" w:eastAsia="微软雅黑"/>
          <w:b/>
          <w:i w:val="0"/>
          <w:color w:val="E74C3C"/>
          <w:sz w:val="18"/>
        </w:rPr>
        <w:t>Please provide complete answers in the [Answer Area] for each question.</w:t>
      </w:r>
    </w:p>
    <w:p>
      <w:pPr>
        <w:spacing w:before="80" w:after="120" w:line="336" w:lineRule="auto"/>
      </w:pPr>
      <w:r>
        <w:rPr>
          <w:rFonts w:ascii="微软雅黑" w:hAnsi="微软雅黑" w:eastAsia="微软雅黑"/>
          <w:b/>
          <w:i w:val="0"/>
          <w:color w:val="16A085"/>
          <w:sz w:val="20"/>
        </w:rPr>
        <w:t>Basic patient information</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fill="ECF0F1" w:val="clear"/>
          </w:tcPr>
          <w:p>
            <w:r>
              <w:t>Age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58</w:t>
            </w:r>
          </w:p>
        </w:tc>
        <w:tc>
          <w:tcPr>
            <w:tcW w:type="dxa" w:w="1063"/>
            <w:shd w:fill="ECF0F1" w:val="clear"/>
          </w:tcPr>
          <w:p>
            <w:r>
              <w:t>Sex</w:t>
            </w:r>
            <w:r>
              <w:rPr>
                <w:rFonts w:ascii="微软雅黑" w:hAnsi="微软雅黑" w:eastAsia="微软雅黑"/>
                <w:b/>
                <w:i w:val="0"/>
                <w:color w:val="7F8C8D"/>
                <w:sz w:val="16"/>
              </w:rPr>
            </w:r>
          </w:p>
        </w:tc>
        <w:tc>
          <w:tcPr>
            <w:tcW w:type="dxa" w:w="1063"/>
          </w:tcPr>
          <w:p>
            <w:r>
              <w:t>Female</w:t>
            </w:r>
            <w:r>
              <w:rPr>
                <w:rFonts w:ascii="微软雅黑" w:hAnsi="微软雅黑" w:eastAsia="微软雅黑"/>
                <w:b/>
                <w:i w:val="0"/>
                <w:sz w:val="18"/>
              </w:rPr>
            </w:r>
          </w:p>
        </w:tc>
        <w:tc>
          <w:tcPr>
            <w:tcW w:type="dxa" w:w="1063"/>
            <w:shd w:fill="ECF0F1" w:val="clear"/>
          </w:tcPr>
          <w:p>
            <w:r>
              <w:t>Body weight (kg)</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58</w:t>
            </w:r>
          </w:p>
        </w:tc>
        <w:tc>
          <w:tcPr>
            <w:tcW w:type="dxa" w:w="1063"/>
            <w:shd w:fill="ECF0F1" w:val="clear"/>
          </w:tcPr>
          <w:p>
            <w:r>
              <w:t>Creatinine (μmol/L)</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573</w:t>
            </w:r>
          </w:p>
        </w:tc>
      </w:tr>
      <w:tr>
        <w:tc>
          <w:tcPr>
            <w:tcW w:type="dxa" w:w="1063"/>
            <w:shd w:fill="ECF0F1" w:val="clear"/>
          </w:tcPr>
          <w:p>
            <w:r/>
            <w:r>
              <w:rPr>
                <w:rFonts w:ascii="微软雅黑" w:hAnsi="微软雅黑" w:eastAsia="微软雅黑"/>
                <w:b/>
                <w:i w:val="0"/>
                <w:color w:val="7F8C8D"/>
                <w:sz w:val="16"/>
              </w:rPr>
              <w:t>eGFR(mL/min/1.73m²)</w:t>
            </w:r>
          </w:p>
        </w:tc>
        <w:tc>
          <w:tcPr>
            <w:tcW w:type="dxa" w:w="1063"/>
          </w:tcPr>
          <w:p>
            <w:r/>
            <w:r>
              <w:rPr>
                <w:rFonts w:ascii="微软雅黑" w:hAnsi="微软雅黑" w:eastAsia="微软雅黑"/>
                <w:b/>
                <w:i w:val="0"/>
                <w:sz w:val="18"/>
              </w:rPr>
              <w:t>7</w:t>
            </w:r>
          </w:p>
        </w:tc>
        <w:tc>
          <w:tcPr>
            <w:tcW w:type="dxa" w:w="1063"/>
            <w:shd w:fill="ECF0F1" w:val="clear"/>
          </w:tcPr>
          <w:p>
            <w:r>
              <w:t>Diagnosis</w:t>
            </w:r>
            <w:r>
              <w:rPr>
                <w:rFonts w:ascii="微软雅黑" w:hAnsi="微软雅黑" w:eastAsia="微软雅黑"/>
                <w:b/>
                <w:i w:val="0"/>
                <w:color w:val="7F8C8D"/>
                <w:sz w:val="16"/>
              </w:rPr>
            </w:r>
          </w:p>
        </w:tc>
        <w:tc>
          <w:tcPr>
            <w:tcW w:type="dxa" w:w="1063"/>
          </w:tcPr>
          <w:p>
            <w:r>
              <w:t>Chronic kidney disease (CKD G5, eGFR 7 mL/min), with concomitant medication dose adjustment</w:t>
            </w:r>
            <w:r>
              <w:rPr>
                <w:rFonts w:ascii="微软雅黑" w:hAnsi="微软雅黑" w:eastAsia="微软雅黑"/>
                <w:b/>
                <w:i w:val="0"/>
                <w:sz w:val="18"/>
              </w:rPr>
            </w:r>
          </w:p>
        </w:tc>
        <w:tc>
          <w:tcPr>
            <w:tcW w:type="dxa" w:w="1063"/>
          </w:tcPr>
          <w:p/>
        </w:tc>
        <w:tc>
          <w:tcPr>
            <w:tcW w:type="dxa" w:w="1063"/>
          </w:tcPr>
          <w:p/>
        </w:tc>
        <w:tc>
          <w:tcPr>
            <w:tcW w:type="dxa" w:w="1063"/>
          </w:tcPr>
          <w:p/>
        </w:tc>
        <w:tc>
          <w:tcPr>
            <w:tcW w:type="dxa" w:w="1063"/>
          </w:tcPr>
          <w:p/>
        </w:tc>
      </w:tr>
    </w:tbl>
    <w:p/>
    <w:p>
      <w:pPr>
        <w:pStyle w:val="Heading2"/>
      </w:pPr>
      <w:r>
        <w:rPr>
          <w:color w:val="2980B9"/>
        </w:rPr>
        <w:t>Task 1: Comprehensive Clinical Pharmacy Assessment (12 points)</w:t>
      </w:r>
    </w:p>
    <w:p>
      <w:pPr>
        <w:spacing w:before="120" w:after="120" w:line="360" w:lineRule="auto"/>
        <w:ind w:left="170" w:right="170"/>
        <w:shd w:fill="EAF2FF" w:val="clear"/>
      </w:pPr>
      <w:r>
        <w:rPr>
          <w:rFonts w:ascii="微软雅黑" w:hAnsi="微软雅黑" w:eastAsia="微软雅黑"/>
          <w:b w:val="0"/>
          <w:i w:val="0"/>
          <w:color w:val="1A4A6B"/>
          <w:sz w:val="20"/>
        </w:rPr>
        <w:t>Task 1: Based on a comprehensive clinical pharmacy assessment, and in conjunction with this hospital’s drug inventory, complete the following comprehensive assessment items.</w:t>
        <w:br/>
        <w:br/>
        <w:t>Requirements: Recommended medications must be written using the complete drug name and strength/specification as listed in the inventory; if a medication outside the inventory is needed, it must be clearly labeled “This medication is not listed in this hospital’s inventory and requires external purchase/temporary compounding,” and an in-inventory alternative plan or the procurement process must be provided.</w:t>
      </w:r>
    </w:p>
    <w:p/>
    <w:p>
      <w:pPr>
        <w:pStyle w:val="Heading3"/>
      </w:pPr>
      <w:r>
        <w:rPr>
          <w:color w:val="2980B9"/>
        </w:rPr>
        <w:t>Q1  Antimicrobial Treatment Plan Development and Renal Function–Based Dosing Strategies in CKD G5 with Concomitant Infection</w:t>
      </w:r>
    </w:p>
    <w:p>
      <w:pPr>
        <w:spacing w:before="80" w:after="120" w:line="408" w:lineRule="auto"/>
        <w:ind w:left="227" w:right="227"/>
        <w:shd w:fill="EBF5FB" w:val="clear"/>
      </w:pPr>
      <w:r>
        <w:rPr>
          <w:rFonts w:ascii="微软雅黑" w:hAnsi="微软雅黑" w:eastAsia="微软雅黑"/>
          <w:b w:val="0"/>
          <w:i w:val="0"/>
          <w:sz w:val="22"/>
        </w:rPr>
        <w:t>A 58-year-old woman with CKD G5 (Scr 573 μmol/L, eGFR 7 mL/min/1.73 m²) was admitted for “fever, chills, and urinary frequency and dysuria for 3 days.” Admission laboratory results: WBC 15×10^9/L, PCT 3.2 ng/mL, CRP 120 mg/L; blood pressure was stable. The attending physician planned empiric intravenous anti-infective therapy and was concerned that extremely poor renal function might lead to inadequate efficacy or increased toxicity. Please provide comprehensive recommendations on the current anti-infective regimen as a clinical pharmacist.</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8E44AD"/>
        </w:rPr>
        <w:t>Q2  Initiation and adjustment of erythropoiesis-stimulating agent/hypoxia-inducible factor therapies for anemia in CKD G5</w:t>
      </w:r>
    </w:p>
    <w:p>
      <w:pPr>
        <w:spacing w:before="80" w:after="120" w:line="408" w:lineRule="auto"/>
        <w:ind w:left="227" w:right="227"/>
        <w:shd w:fill="EBF5FB" w:val="clear"/>
      </w:pPr>
      <w:r>
        <w:rPr>
          <w:rFonts w:ascii="微软雅黑" w:hAnsi="微软雅黑" w:eastAsia="微软雅黑"/>
          <w:b w:val="0"/>
          <w:i w:val="0"/>
          <w:sz w:val="22"/>
        </w:rPr>
        <w:t>The patient has been under infection control after admission. Re-evaluation on day 5 showed: Hb 76 g/L, RBC 2.6×10^12/L; ferritin 180 ng/mL, TSAT 18%; blood pressure 156/92 mmHg. Nephrology is considering treatment for renal anemia, but the patient has very poor renal function and remains hospitalized recently. Please, as a clinical pharmacist, provide recommendations on pharmacologic management of the patient’s anemia.</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27AE60"/>
        </w:rPr>
        <w:t>Q3  Pharmacologic Management of Hyperkalemia in CKD G5 and Reassessment of Triggering Medications</w:t>
      </w:r>
    </w:p>
    <w:p>
      <w:pPr>
        <w:spacing w:before="80" w:after="120" w:line="408" w:lineRule="auto"/>
        <w:ind w:left="227" w:right="227"/>
        <w:shd w:fill="EBF5FB" w:val="clear"/>
      </w:pPr>
      <w:r>
        <w:rPr>
          <w:rFonts w:ascii="微软雅黑" w:hAnsi="微软雅黑" w:eastAsia="微软雅黑"/>
          <w:b w:val="0"/>
          <w:i w:val="0"/>
          <w:sz w:val="22"/>
        </w:rPr>
        <w:t>On hospital day 7, the patient developed fatigue and palpitations. Laboratory tests showed: K+ 6.2 mmol/L, HCO3- 16 mmol/L; the ECG demonstrated tall, peaked T waves. A review of the past 3 days of medications on the ward found that RAAS-related antihypertensive therapy had been added; meanwhile, the patient’s urine output decreased. The attending physician asks you, as the clinical pharmacist, to provide recommendations for managing the current medication regimen.</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2"/>
      </w:pPr>
      <w:r>
        <w:rPr>
          <w:color w:val="D4AC0D"/>
        </w:rPr>
        <w:t>Task 2: Clinical Implementation Documentation (4 points)</w:t>
      </w:r>
    </w:p>
    <w:p>
      <w:pPr>
        <w:spacing w:before="120" w:after="120" w:line="360" w:lineRule="auto"/>
        <w:ind w:left="170" w:right="170"/>
        <w:shd w:fill="FEF9E7" w:val="clear"/>
      </w:pPr>
      <w:r>
        <w:rPr>
          <w:rFonts w:ascii="微软雅黑" w:hAnsi="微软雅黑" w:eastAsia="微软雅黑"/>
          <w:b w:val="0"/>
          <w:i w:val="0"/>
          <w:color w:val="1A4A6B"/>
          <w:sz w:val="20"/>
        </w:rPr>
        <w:t>Task 2: Clinical implementation documentation. Please produce directly executable documentation based on the clinical decisions from Task 1.</w:t>
        <w:br/>
        <w:br/>
        <w:t>Requirements: Any medications mentioned in the documentation must use the complete in-stock name and specification; for medications not in stock, mark “requires external purchase/temporary compounding” in the document and describe the procurement process.</w:t>
      </w:r>
    </w:p>
    <w:p>
      <w:pPr>
        <w:spacing w:before="120" w:after="80" w:line="336" w:lineRule="auto"/>
      </w:pPr>
      <w:r>
        <w:rPr>
          <w:rFonts w:ascii="微软雅黑" w:hAnsi="微软雅黑" w:eastAsia="微软雅黑"/>
          <w:b/>
          <w:i w:val="0"/>
          <w:color w:val="7D6608"/>
          <w:sz w:val="20"/>
        </w:rPr>
        <w:t>Document Type: Dose Adjustment Decision Form</w:t>
      </w:r>
    </w:p>
    <w:p>
      <w:pPr>
        <w:spacing w:before="80" w:after="120" w:line="408" w:lineRule="auto"/>
        <w:ind w:left="227" w:right="227"/>
        <w:shd w:fill="FEF9E7" w:val="clear"/>
      </w:pPr>
      <w:r>
        <w:rPr>
          <w:rFonts w:ascii="微软雅黑" w:hAnsi="微软雅黑" w:eastAsia="微软雅黑"/>
          <w:b w:val="0"/>
          <w:i w:val="0"/>
          <w:sz w:val="22"/>
        </w:rPr>
        <w:t>Based on the clinical decision-making for this patient with CKD G5 (eGFR 7 mL/min/1.73 m²) complicated by infection, anemia, and hyperkalemia, develop an implementable document titled “Medication Dosing and Access Pathways in Renal Impairment” that can be used by resident physicians to enter inpatient orders, by the nursing team to carry out, and by pharmacists to verify.</w:t>
      </w:r>
    </w:p>
    <w:p>
      <w:pPr>
        <w:spacing w:before="80" w:after="40" w:line="336" w:lineRule="auto"/>
      </w:pPr>
      <w:r>
        <w:rPr>
          <w:rFonts w:ascii="微软雅黑" w:hAnsi="微软雅黑" w:eastAsia="微软雅黑"/>
          <w:b w:val="0"/>
          <w:i w:val="0"/>
          <w:color w:val="AAAAAA"/>
          <w:sz w:val="16"/>
        </w:rPr>
        <w:t>Response Section (Task 2 Written Document — please complete the form in full)</w:t>
      </w:r>
    </w:p>
    <w:tbl>
      <w:tblPr>
        <w:tblStyle w:val="TableGrid"/>
        <w:tblW w:type="auto" w:w="0"/>
        <w:jc w:val="center"/>
        <w:tblLook w:firstColumn="1" w:firstRow="1" w:lastColumn="0" w:lastRow="0" w:noHBand="0" w:noVBand="1" w:val="04A0"/>
      </w:tblPr>
      <w:tblGrid>
        <w:gridCol w:w="8504"/>
      </w:tblGrid>
      <w:tr>
        <w:trPr>
          <w:trHeight w:val="17600" w:hRule="exact"/>
        </w:trPr>
        <w:tc>
          <w:tcPr>
            <w:tcW w:type="dxa" w:w="8504"/>
            <w:shd w:fill="FFFEF5" w:val="clear"/>
          </w:tcPr>
          <w:p>
            <w:pPr>
              <w:spacing w:before="80"/>
            </w:pPr>
            <w:r/>
          </w:p>
        </w:tc>
      </w:tr>
    </w:tbl>
    <w:p>
      <w:pPr>
        <w:spacing w:after="80"/>
      </w:pP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微软雅黑" w:hAnsi="微软雅黑" w:eastAsia="微软雅黑"/>
        <w:b w:val="0"/>
        <w:i w:val="0"/>
        <w:color w:val="999999"/>
        <w:sz w:val="16"/>
      </w:rPr>
      <w:t>Cross-Specialty Probe v2 — 临床药学综合评估试卷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