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Cardiac Surgery | PMC10672652</w:t>
      </w:r>
    </w:p>
    <w:p>
      <w:pPr>
        <w:jc w:val="center"/>
      </w:pPr>
      <w:r>
        <w:rPr>
          <w:color w:val="888888"/>
          <w:sz w:val="20"/>
        </w:rPr>
        <w:t>Minimally Invasive Strategy to Repair Mitral Valve after Repeated Coronary Revascularization: A Case Report and Literature Review.</w:t>
      </w:r>
    </w:p>
    <w:p/>
    <w:p>
      <w:pPr>
        <w:pStyle w:val="Heading2"/>
      </w:pPr>
      <w:r>
        <w:t>Question 1: Intraoperative Decision-Making</w:t>
      </w:r>
    </w:p>
    <w:p>
      <w:r>
        <w:rPr>
          <w:b/>
          <w:sz w:val="22"/>
        </w:rPr>
        <w:t>Clinical Vignette</w:t>
      </w:r>
    </w:p>
    <w:p>
      <w:r>
        <w:t>A 77-year-old man with severe symptomatic mitral regurgitation (mixed ischemic–degenerative disease with anterior leaflet prolapse) and advanced LV dysfunction (LVEF &lt;35%, LVESD 58 mm; LVESDi 33 mm/m²) is taken to the operating room after failing maximal medical therapy (NYHA IV despite high-dose diuretics). He has had two prior CABG operations (1992 and 2005), severe COPD, chronic atrial fibrillation on a NOAC with an ICD in situ, and chronic kidney disease (creatinine clearance ~20 mL/min). Preoperative coronary angiography and CT show all arterial grafts occluded and only one patent saphenous vein graft to the PDA; its proximal anastomosis is very distal on the ascending aorta and the graft courses close to the anticipated midline re-entry plane. After peripheral cannulation and initiation of cardiopulmonary bypass for the planned oncologic-level mitral intervention, dense right pleural adhesions limit exposure and would require extensive dissection. A patent SVG-PDA is encountered near the operative field. The ascending aorta cannot be safely mobilized or clamped due to adhesions and graft proximity; any aortic puncture or instrumentation (root cardioplegia needle, aortic vent, or cross-clamp) is judged high risk for catastrophic graft or aortic injury. The heart is still beating; the team is using rapid ventricular pacing at 150/min to improve exposure, CO₂ insufflation at 5 L/min, and left atrial drainage via the right superior pulmonary vein.</w:t>
      </w:r>
    </w:p>
    <w:p>
      <w:r>
        <w:rPr>
          <w:b/>
          <w:sz w:val="22"/>
        </w:rPr>
        <w:t>Question</w:t>
      </w:r>
    </w:p>
    <w:p>
      <w:r>
        <w:t>In this setting where the ascending aorta cannot be safely controlled but mitral valve surgery must proceed, what myocardial protection and operative-field strategy should you choose (beating-heart, ventricular fibrillation, or hypothermic circulatory arrest/alternative route), what are the key technical steps to execute it safely, and which high-risk pitfalls should be explicitly avoided?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77-year-old man is in the cardiothoracic ICU several hours after complex redo cardiac surgery for severe symptomatic mitral regurgitation and advanced ischemic cardiomyopathy (preoperative LVEF &lt;35%). His history includes two prior coronary bypass operations, chronic atrial fibrillation previously treated with anticoagulation, an implantable cardioverter-defibrillator, severe COPD, and chronic kidney disease (estimated creatinine clearance ~20 mL/min). Shortly after initial stabilization, the bedside nurse notes an abrupt change in neurologic status: he fails to follow commands, has a new gaze preference, and develops left-sided weakness. Vital signs show mild hypotension and tachycardia; oxygenation is unchanged on mechanical ventilation. Pupils are equal and reactive. There is no major chest tube output and no evidence of active surgical bleeding. Arterial blood gas shows no severe hypercapnia or hypoxemia. Because he recently underwent left-sided intracardiac surgery with cardiopulmonary bypass, the team is concerned about an embolic neurologic event, including systemic air embolism with potential cerebral involvement. Immediate priorities are rapid recognition, differentiation from other causes of postoperative neurologic deficit, initiation of time-sensitive therapy, and prevention of secondary brain injury while balancing bleeding and anticoagulation risks in the immediate postoperative period.</w:t>
      </w:r>
    </w:p>
    <w:p>
      <w:r>
        <w:rPr>
          <w:b/>
          <w:sz w:val="22"/>
        </w:rPr>
        <w:t>Question</w:t>
      </w:r>
    </w:p>
    <w:p>
      <w:r>
        <w:t>In this postoperative scenario, explain the mechanism of systemic air embolism/stroke after left-sided intracardiac surgery, and outline the early recognition criteria, recommended diagnostic workflow, evidence-based acute management (including key time windows and interventions), and prevention strategies for similar future cases?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