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Colorectal Surgery | PMC7188516</w:t>
      </w:r>
    </w:p>
    <w:p>
      <w:pPr>
        <w:jc w:val="center"/>
      </w:pPr>
      <w:r>
        <w:rPr>
          <w:color w:val="888888"/>
          <w:sz w:val="20"/>
        </w:rPr>
        <w:t>A Surgical Technique to Repair Perineal Body Disruption Secondary to Sexual Assault.</w:t>
      </w:r>
    </w:p>
    <w:p/>
    <w:p>
      <w:pPr>
        <w:pStyle w:val="Heading2"/>
      </w:pPr>
      <w:r>
        <w:t>Question 1: Intraoperative Decision-Making</w:t>
      </w:r>
    </w:p>
    <w:p>
      <w:r>
        <w:rPr>
          <w:b/>
          <w:sz w:val="22"/>
        </w:rPr>
        <w:t>Clinical Vignette</w:t>
      </w:r>
    </w:p>
    <w:p>
      <w:r>
        <w:t>A 9-year-old previously healthy girl is brought to the emergency department after being found unconscious in a field with blood around the genital and perianal area. She is hemodynamically stable but distressed. External inspection shows blood at the introitus and anus. Because deep genital/perineal trauma is suspected, she is taken urgently for examination under anesthesia with involvement of pediatric surgery, gynecology, anesthesia, and child protection/forensic teams. Intraoperative assessment demonstrates a torn hymen, a full-thickness vaginal laceration, and disruption of the anal sphincter complex consistent with a fourth-degree perineal injury with suspected rectovaginal communication and initial wound contamination. She receives broad-spectrum antibiotics and appropriate sexual-assault prophylaxis. Five days later, she returns to the operating room for definitive operative management; the perineum shows no gross necrosis and no obvious infection, but tissue planes remain distorted. On EUA you find complete loss of the perineal body: rectum and vagina are contiguous on a shared tissue plane, and the anterior sphincter complex appears absent/discontinuous with high risk of fecal contamination and breakdown in a child.</w:t>
      </w:r>
    </w:p>
    <w:p>
      <w:r>
        <w:rPr>
          <w:b/>
          <w:sz w:val="22"/>
        </w:rPr>
        <w:t>Question</w:t>
      </w:r>
    </w:p>
    <w:p>
      <w:r>
        <w:t>In this operative setting, what is your immediate intraoperative strategy to safely re-establish a rectovaginal plane and reconstruct continence—describe the critical technical steps, how you identify/confirm viable sphincter muscle (including use of stimulation), and the key pitfalls that predispose to recurrent rectovaginal contamination or repair failure; and under what intraoperative findings or patient factors would you add fecal diversion or stage the repair?</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9-year-old previously healthy girl presents to the emergency department 3 months after hospitalization for severe traumatic genital–perineal injury. Caregivers report progressive fecal soiling of underwear, perineal irritation, and foul-smelling vaginal discharge. She has intermittent perineal pain but no fever. On examination she is hemodynamically stable. The perineum appears scarred with loss of normal perineal body contour; gentle separation of the labia reveals stool-stained fluid at the vaginal introitus. Digital rectal examination is limited by distress but suggests weak resting tone. Under examination under anesthesia, there is marked distortion of the anorectal and vaginal anatomy with a very thin shared tissue plane between posterior vagina and anterior rectum, consistent with a functional rectovaginal communication. The anterior portion of the anal sphincter complex is not clearly identifiable as a continuous ring, and the perineal body cannot be defined. The tissue appears viable without obvious necrosis or abscess. The clinical concern is delayed breakdown after prior treatment of a contaminated fourth-degree perineal injury, with ongoing fecal contamination and sphincter discontinuity contributing to symptoms.</w:t>
      </w:r>
    </w:p>
    <w:p>
      <w:r>
        <w:rPr>
          <w:b/>
          <w:sz w:val="22"/>
        </w:rPr>
        <w:t>Question</w:t>
      </w:r>
    </w:p>
    <w:p>
      <w:r>
        <w:t>What are the most likely reasons for this delayed postoperative failure, what key criteria and investigations should be used now to confirm ongoing rectovaginal contamination/fistula and anal sphincter discontinuity, and what is the evidence-based management plan (including indications for fecal diversion and methods to protect reconstruction), as well as prevention strategies that should have been implemented during initial management to reduce the risk of breakdown?</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