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Colorectal Surgery | PMC10019143</w:t>
      </w:r>
    </w:p>
    <w:p>
      <w:pPr>
        <w:jc w:val="center"/>
      </w:pPr>
      <w:r>
        <w:rPr>
          <w:color w:val="888888"/>
          <w:sz w:val="20"/>
        </w:rPr>
        <w:t>A case report of primary complex anal fistula with 7 external openings treated with combined preoperative 3D MRI model.</w:t>
      </w:r>
    </w:p>
    <w:p/>
    <w:p>
      <w:pPr>
        <w:pStyle w:val="Heading2"/>
      </w:pPr>
      <w:r>
        <w:t>Question 1: Intraoperative Decision-Making</w:t>
      </w:r>
    </w:p>
    <w:p>
      <w:r>
        <w:rPr>
          <w:b/>
          <w:sz w:val="22"/>
        </w:rPr>
        <w:t>Clinical Vignette</w:t>
      </w:r>
    </w:p>
    <w:p>
      <w:r>
        <w:t xml:space="preserve">A 36-year-old man with no significant comorbidities has a 10-year history of recurrent perianal “lumps” that become painful, rupture, and intermittently drain purulent fluid despite repeated medical therapy. He reports ongoing intermittent pus discharge and local discomfort without fever, weight loss, or diarrhea. Colonoscopy is normal and routine labs are unremarkable; cultures are negative for tuberculosis. Preoperative contrast MRI with 3D reconstruction suggested a complex, branching fistula network with multiple external openings (1–3 o’clock, 5 o’clock, and 12 o’clock; 2–7 cm from the anal verge) and two true internal openings (approximately 2 o’clock at the dentate line and 7 o’clock above the sphincter complex in rectal mucosa). </w:t>
        <w:br/>
        <w:br/>
        <w:t>Under anesthesia, probing and dye injection confirm a complex, multi-branch anal fistula. One dominant tract traverses a large portion of the external anal sphincter (&gt;30% suspected). A separate posterior tract lies in the intersphincteric plane and leads to the high 7 o’clock internal opening. The 5 o’clock external opening appears to be a deep confluence point. Multiple dependent secondary branches drain laterally to several 1–3 o’clock skin openings, and an anterior extension tracks toward the scrotal root with three scrotal openings. The operative team must choose how to eradicate disease while minimizing sphincter injury and recurrence risk.</w:t>
      </w:r>
    </w:p>
    <w:p>
      <w:r>
        <w:rPr>
          <w:b/>
          <w:sz w:val="22"/>
        </w:rPr>
        <w:t>Question</w:t>
      </w:r>
    </w:p>
    <w:p>
      <w:r>
        <w:t>At this intraoperative stage, which tracts should be managed with drainage and/or seton placement versus definitive single-stage repair (e.g., limited fistulotomy, LIFT, or endorectal advancement flap), and how would you specifically address the high 7 o’clock internal opening and the scrotal/lateral secondary branches to balance cure, continence preservation, and reduced recurrence—what are the key steps and most common pitfalls?</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36-year-old man is seen 2 weeks after operative treatment for a long-standing complex cryptoglandular anal fistula characterized by multiple external openings around the perineum and scrotal root with branching tracts and more than one internal communication with the anal canal/rectal mucosa. He reports ongoing daily purulent drainage from several external openings and increasing perianal discomfort. He also notes new difficulty controlling flatus and occasional soiling of underwear that was not present preoperatively. He is afebrile and denies chills. On examination, there is perianal induration with several external openings that express pus with gentle pressure; mild erythema is present without crepitus. Digital rectal examination demonstrates mildly reduced resting tone; no palpable mass is felt. Basic laboratory tests show no leukocytosis. The surgeon is concerned about early postoperative failure of sepsis control versus disruption of continence mechanisms in the setting of a previously high-burden, branching fistula system. The next step is to determine whether the predominant problem is ongoing/persistent fistula disease (missed internal opening, undrained branch, or premature closure of a drainage pathway) and/or sphincter-related dysfunction from the intervention, and to plan appropriate evaluation and management.</w:t>
      </w:r>
    </w:p>
    <w:p>
      <w:r>
        <w:rPr>
          <w:b/>
          <w:sz w:val="22"/>
        </w:rPr>
        <w:t>Question</w:t>
      </w:r>
    </w:p>
    <w:p>
      <w:r>
        <w:t>In this postoperative scenario, what is the most important complication to prioritize (new sphincter dysfunction with fecal incontinence versus persistent/recurrent fistula with ongoing sepsis), and how should it be evaluated early and managed in an evidence-based stepwise pathway while minimizing future risk?</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