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Dermatologic Surgery | PMC6986114</w:t>
      </w:r>
    </w:p>
    <w:p>
      <w:pPr>
        <w:jc w:val="center"/>
      </w:pPr>
      <w:r>
        <w:rPr>
          <w:color w:val="888888"/>
          <w:sz w:val="20"/>
        </w:rPr>
        <w:t>Lichen Simplex Chronicus Secondary to Scald Injury and Skin Flap Transplantation.</w:t>
      </w:r>
    </w:p>
    <w:p/>
    <w:p>
      <w:pPr>
        <w:pStyle w:val="Heading2"/>
      </w:pPr>
      <w:r>
        <w:t>Question 1: Intraoperative Decision-Making</w:t>
      </w:r>
    </w:p>
    <w:p>
      <w:r>
        <w:rPr>
          <w:b/>
          <w:sz w:val="22"/>
        </w:rPr>
        <w:t>Clinical Vignette</w:t>
      </w:r>
    </w:p>
    <w:p>
      <w:r>
        <w:t>A 50-year-old woman with no significant medical or psychiatric history has had an intensely pruritic, burning “itch with abnormal sensations” localized to the right retroauricular area for 16 years. Symptoms began after a scald injury 17 years ago that required coverage of a retroauricular wound with an autologous skin flap; other scalded areas that healed without grafting are asymptomatic. She reports irresistible scratching despite intermittent improvement of the visible rash with topical corticosteroids. Examination shows an irregular erythematous, markedly lichenified plaque with minimal scale and fissuring on the grafted retroauricular skin; there is no palpable lymphadenopathy. Routine blood tests and hepatic/renal function are normal, and chest radiograph and ultrasound show no abnormality. Because malignancy in scar/graft tissue and other mimickers must be excluded, she is brought to the procedure room for diagnostic sampling of the plaque under local anesthesia. After a representative biopsy is taken, frozen section/rapid pathology and gross appearance show only chronic excoriation/lichenification changes without infection or tumor. Hemostasis is secured, but local anesthetic effect is poor and she continues to have pronounced burning pruritus/paresthesia with repeated attempts to scratch; the skin appears thin with multiple fissures, raising concern for immediate re-trauma and recurrence driven by neuropathic itch.</w:t>
      </w:r>
    </w:p>
    <w:p>
      <w:r>
        <w:rPr>
          <w:b/>
          <w:sz w:val="22"/>
        </w:rPr>
        <w:t>Question</w:t>
      </w:r>
    </w:p>
    <w:p>
      <w:r>
        <w:t>In the intraoperative-to-immediate postoperative period, what local and procedural measures should you prioritize to break the itch–scratch cycle (e.g., targeted nerve block, antipruritic/analgesic strategy, and protective dressing/immobilization), what are the key technical steps, and which major pitfalls must be avoided?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50-year-old woman presents with a 16-year history of an intensely pruritic plaque located exclusively behind the right ear in an area of prior reconstructive wound coverage performed after a scald injury 17 years ago. Since the wound healed, she has experienced persistent abnormal cutaneous sensations in the same confined region, described as “itching and other indescribable sensations,” which trigger frequent irresistible scratching. Multiple courses of topical therapies prescribed elsewhere, including high-potency topical corticosteroids, have intermittently reduced erythema and scaling but have not relieved the underlying paresthesia, and the lesion repeatedly thickens again. She reports no generalized pruritus, weight loss, fever, or new skin lesions elsewhere. Other previously scalded sites that healed without reconstructive coverage are asymptomatic. She denies atopic disease, psychiatric history, and similar family history. Examination shows an irregular erythematous, markedly lichenified plaque with minimal scale and superficial fissuring in the right retroauricular region. No palpable lymphadenopathy is present. Routine laboratory studies are within normal limits, and basic imaging performed to screen for systemic disease is unremarkable. Sampling of the lesion shows changes consistent with a chronic scratch-induced process and excludes infection and malignancy.</w:t>
      </w:r>
    </w:p>
    <w:p>
      <w:r>
        <w:rPr>
          <w:b/>
          <w:sz w:val="22"/>
        </w:rPr>
        <w:t>Question</w:t>
      </w:r>
    </w:p>
    <w:p>
      <w:r>
        <w:t>What is the most likely late postoperative complication driving this localized itch–scratch cycle, what is the underlying pathophysiology related to scar/reinnervation or sensory nerve injury, and what stepwise evidence-based management plan would you use to control symptoms and prevent recurrence?</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